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Verdana" w:hAnsi="Verdana" w:cs="Verdana"/>
          <w:b/>
          <w:bCs/>
          <w:sz w:val="16"/>
          <w:szCs w:val="16"/>
          <w:u w:val="single"/>
        </w:rPr>
      </w:pP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 xml:space="preserve">S </w:t>
      </w:r>
      <w:r>
        <w:rPr>
          <w:rFonts w:ascii="Verdana" w:hAnsi="Verdana" w:cs="Arial"/>
          <w:b/>
          <w:color w:val="000000"/>
          <w:sz w:val="18"/>
          <w:szCs w:val="18"/>
          <w:u w:val="single"/>
        </w:rPr>
        <w:t xml:space="preserve">Nº </w:t>
      </w:r>
      <w:r>
        <w:rPr>
          <w:rFonts w:hint="default" w:ascii="Verdana" w:hAnsi="Verdana" w:cs="Arial"/>
          <w:b/>
          <w:color w:val="000000"/>
          <w:sz w:val="18"/>
          <w:szCs w:val="18"/>
          <w:u w:val="single"/>
          <w:lang w:val="pt-BR"/>
        </w:rPr>
        <w:t>025/2020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C. G. LIMA DISTRIBUIDORA DE EQUIPAMENTOS - ME</w:t>
      </w:r>
      <w:r>
        <w:rPr>
          <w:rFonts w:ascii="Verdana" w:hAnsi="Verdana" w:cs="Arial"/>
          <w:color w:val="000000"/>
          <w:sz w:val="18"/>
          <w:szCs w:val="18"/>
        </w:rPr>
        <w:t>, com sede na</w:t>
      </w:r>
      <w:r>
        <w:rPr>
          <w:rFonts w:ascii="Verdana" w:hAnsi="Verdana" w:cs="Arial"/>
          <w:b/>
          <w:bCs/>
          <w:color w:val="000000"/>
          <w:sz w:val="18"/>
          <w:szCs w:val="18"/>
        </w:rPr>
        <w:t xml:space="preserve"> </w:t>
      </w:r>
      <w:r>
        <w:rPr>
          <w:rFonts w:hint="default" w:ascii="Verdana" w:hAnsi="Verdana" w:cs="Arial"/>
          <w:b/>
          <w:bCs/>
          <w:color w:val="000000"/>
          <w:sz w:val="18"/>
          <w:szCs w:val="18"/>
          <w:lang w:val="pt-BR"/>
        </w:rPr>
        <w:t>Rua Evaristo Boucinha, nº 95 - SLJ - CENTRO - CASIMIRO DE ABREU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21.777.287/0001-30</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ROGER GOMES DE FIGUEIREDO</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202088746</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DETRAN</w:t>
      </w:r>
      <w:r>
        <w:rPr>
          <w:rFonts w:ascii="Verdana" w:hAnsi="Verdana" w:cs="Arial"/>
          <w:color w:val="000000"/>
          <w:sz w:val="18"/>
          <w:szCs w:val="18"/>
        </w:rPr>
        <w:t xml:space="preserve">, CPF n.º </w:t>
      </w:r>
      <w:r>
        <w:rPr>
          <w:rFonts w:hint="default" w:ascii="Verdana" w:hAnsi="Verdana" w:cs="Arial"/>
          <w:b/>
          <w:color w:val="000000"/>
          <w:sz w:val="18"/>
          <w:szCs w:val="18"/>
          <w:lang w:val="pt-BR"/>
        </w:rPr>
        <w:t>153.045.757-25</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firstLine="3242" w:firstLineChars="1800"/>
        <w:jc w:val="both"/>
        <w:rPr>
          <w:rFonts w:hint="default" w:ascii="Verdana" w:hAnsi="Verdana" w:cs="Arial"/>
          <w:b/>
          <w:sz w:val="18"/>
          <w:szCs w:val="18"/>
          <w:lang w:val="pt-BR"/>
        </w:rPr>
      </w:pPr>
    </w:p>
    <w:p>
      <w:pPr>
        <w:autoSpaceDE w:val="0"/>
        <w:autoSpaceDN w:val="0"/>
        <w:adjustRightInd w:val="0"/>
        <w:ind w:left="-426" w:right="-498" w:firstLine="3242" w:firstLineChars="1800"/>
        <w:jc w:val="both"/>
        <w:rPr>
          <w:rFonts w:hint="default" w:ascii="Verdana" w:hAnsi="Verdana" w:cs="Arial"/>
          <w:b/>
          <w:sz w:val="18"/>
          <w:szCs w:val="18"/>
          <w:lang w:val="pt-BR"/>
        </w:rPr>
      </w:pPr>
      <w:r>
        <w:rPr>
          <w:rFonts w:hint="default" w:ascii="Verdana" w:hAnsi="Verdana" w:cs="Arial"/>
          <w:b/>
          <w:sz w:val="18"/>
          <w:szCs w:val="18"/>
          <w:lang w:val="pt-BR"/>
        </w:rPr>
        <w:t>COTA RESERVADA</w:t>
      </w:r>
    </w:p>
    <w:p>
      <w:pPr>
        <w:tabs>
          <w:tab w:val="left" w:pos="5400"/>
        </w:tabs>
        <w:rPr>
          <w:rFonts w:ascii="Verdana" w:hAnsi="Verdana"/>
          <w:sz w:val="18"/>
          <w:szCs w:val="18"/>
        </w:rPr>
      </w:pPr>
    </w:p>
    <w:tbl>
      <w:tblPr>
        <w:tblStyle w:val="38"/>
        <w:tblW w:w="9900" w:type="dxa"/>
        <w:jc w:val="center"/>
        <w:tblLayout w:type="fixed"/>
        <w:tblCellMar>
          <w:top w:w="0" w:type="dxa"/>
          <w:left w:w="0" w:type="dxa"/>
          <w:bottom w:w="0" w:type="dxa"/>
          <w:right w:w="0" w:type="dxa"/>
        </w:tblCellMar>
      </w:tblPr>
      <w:tblGrid>
        <w:gridCol w:w="720"/>
        <w:gridCol w:w="3564"/>
        <w:gridCol w:w="720"/>
        <w:gridCol w:w="756"/>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564"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72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756"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12</w:t>
            </w:r>
          </w:p>
        </w:tc>
        <w:tc>
          <w:tcPr>
            <w:tcW w:w="35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Ringer lactato sol. Inj. 500 ml.</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ANVISA:110850042</w:t>
            </w: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75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18.600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FARMACE</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R$ 2,67</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R$ 49.662,00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RESERVAD</w:t>
            </w:r>
            <w:bookmarkStart w:id="0" w:name="_GoBack"/>
            <w:bookmarkEnd w:id="0"/>
            <w:r>
              <w:rPr>
                <w:rFonts w:hint="default" w:ascii="Verdana" w:hAnsi="Verdana" w:cs="Arial"/>
                <w:b/>
                <w:sz w:val="18"/>
                <w:szCs w:val="18"/>
                <w:lang w:val="pt-BR"/>
              </w:rPr>
              <w:t>A</w:t>
            </w:r>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R$ 49.662,00</w:t>
            </w:r>
          </w:p>
        </w:tc>
      </w:tr>
    </w:tbl>
    <w:p>
      <w:pPr>
        <w:pStyle w:val="9"/>
        <w:jc w:val="cente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w:t>
      </w:r>
      <w:r>
        <w:rPr>
          <w:rFonts w:hint="default" w:ascii="Verdana" w:hAnsi="Verdana" w:cs="Arial"/>
          <w:bCs/>
          <w:sz w:val="18"/>
          <w:szCs w:val="18"/>
          <w:lang w:val="pt-BR"/>
        </w:rPr>
        <w:t>____________</w:t>
      </w:r>
      <w:r>
        <w:rPr>
          <w:rFonts w:ascii="Verdana" w:hAnsi="Verdana" w:cs="Arial"/>
          <w:bCs/>
          <w:sz w:val="18"/>
          <w:szCs w:val="18"/>
        </w:rPr>
        <w:t>________________________</w:t>
      </w:r>
    </w:p>
    <w:p>
      <w:pPr>
        <w:jc w:val="center"/>
        <w:rPr>
          <w:rFonts w:ascii="Verdana" w:hAnsi="Verdana" w:cs="Arial"/>
          <w:b/>
          <w:bCs/>
          <w:szCs w:val="22"/>
        </w:rPr>
      </w:pPr>
      <w:r>
        <w:rPr>
          <w:rFonts w:hint="default" w:ascii="Verdana" w:hAnsi="Verdana" w:cs="Arial"/>
          <w:b/>
          <w:color w:val="000000"/>
          <w:sz w:val="18"/>
          <w:szCs w:val="18"/>
          <w:lang w:val="pt-BR"/>
        </w:rPr>
        <w:t>C. G. LIMA DISTRIBUIDORA DE EQUIPAMENTOS - ME</w:t>
      </w:r>
    </w:p>
    <w:p>
      <w:pPr>
        <w:jc w:val="center"/>
        <w:rPr>
          <w:rFonts w:ascii="Verdana" w:hAnsi="Verdana" w:cs="Arial"/>
          <w:b/>
          <w:bCs/>
          <w:szCs w:val="22"/>
        </w:rPr>
      </w:pPr>
      <w:r>
        <w:rPr>
          <w:rFonts w:hint="default" w:ascii="Verdana" w:hAnsi="Verdana" w:cs="Arial"/>
          <w:b/>
          <w:color w:val="000000"/>
          <w:sz w:val="18"/>
          <w:szCs w:val="18"/>
          <w:lang w:val="pt-BR"/>
        </w:rPr>
        <w:t>ROGER GOMES DE FIGUEIREDO</w:t>
      </w:r>
    </w:p>
    <w:p>
      <w:pPr>
        <w:jc w:val="center"/>
        <w:rPr>
          <w:rFonts w:ascii="Verdana" w:hAnsi="Verdana" w:cs="Arial"/>
          <w:b/>
          <w:bCs/>
          <w:szCs w:val="22"/>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202088746 -</w:t>
      </w:r>
      <w:r>
        <w:rPr>
          <w:rFonts w:ascii="Verdana" w:hAnsi="Verdana" w:cs="Arial"/>
          <w:b/>
          <w:bCs/>
          <w:color w:val="000000"/>
          <w:sz w:val="18"/>
          <w:szCs w:val="18"/>
        </w:rPr>
        <w:t xml:space="preserve"> </w:t>
      </w:r>
      <w:r>
        <w:rPr>
          <w:rFonts w:hint="default" w:ascii="Verdana" w:hAnsi="Verdana" w:cs="Arial"/>
          <w:b/>
          <w:bCs/>
          <w:color w:val="000000"/>
          <w:sz w:val="18"/>
          <w:szCs w:val="18"/>
          <w:lang w:val="pt-BR"/>
        </w:rPr>
        <w:t xml:space="preserve">DETRAN - </w:t>
      </w:r>
      <w:r>
        <w:rPr>
          <w:rFonts w:ascii="Verdana" w:hAnsi="Verdana" w:cs="Arial"/>
          <w:b/>
          <w:bCs/>
          <w:color w:val="000000"/>
          <w:sz w:val="18"/>
          <w:szCs w:val="18"/>
        </w:rPr>
        <w:t xml:space="preserve">CPF n.º </w:t>
      </w:r>
      <w:r>
        <w:rPr>
          <w:rFonts w:hint="default" w:ascii="Verdana" w:hAnsi="Verdana" w:cs="Arial"/>
          <w:b/>
          <w:bCs/>
          <w:color w:val="000000"/>
          <w:sz w:val="18"/>
          <w:szCs w:val="18"/>
          <w:lang w:val="pt-BR"/>
        </w:rPr>
        <w:t>153.045.757-25</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both"/>
        <w:rPr>
          <w:rFonts w:ascii="Verdana" w:hAnsi="Verdana" w:cs="Arial"/>
          <w:b/>
          <w:bCs/>
          <w:szCs w:val="22"/>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sz w:val="16"/>
        <w:szCs w:val="16"/>
      </w:rPr>
    </w:pPr>
    <w:r>
      <w:rPr>
        <w:rFonts w:ascii="Arial" w:hAnsi="Arial" w:cs="Arial"/>
        <w:sz w:val="16"/>
        <w:szCs w:val="16"/>
      </w:rPr>
      <w:t>licitacaofms@pmnf.rj.gov.br</w:t>
    </w:r>
    <w:r>
      <w:rPr>
        <w:rFonts w:ascii="Arial" w:hAnsi="Arial" w:cs="Arial"/>
        <w:b/>
        <w:sz w:val="12"/>
        <w:szCs w:val="12"/>
      </w:rPr>
      <w:t xml:space="preserve">     </w:t>
    </w:r>
  </w:p>
  <w:p>
    <w:pPr>
      <w:pStyle w:val="62"/>
      <w:ind w:firstLine="9360" w:firstLineChars="5850"/>
      <w:jc w:val="both"/>
      <w:rPr>
        <w:rFonts w:ascii="Arial" w:hAnsi="Arial" w:cs="Arial"/>
        <w:b/>
        <w:sz w:val="12"/>
        <w:szCs w:val="12"/>
      </w:rPr>
    </w:pPr>
    <w:r>
      <w:rPr>
        <w:rFonts w:hint="default" w:ascii="Arial" w:hAnsi="Arial" w:cs="Arial"/>
        <w:sz w:val="16"/>
        <w:szCs w:val="16"/>
        <w:lang w:val="pt-BR"/>
      </w:rPr>
      <w:t>L</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2C4312F"/>
    <w:rsid w:val="0383265A"/>
    <w:rsid w:val="03AA184E"/>
    <w:rsid w:val="041D7E08"/>
    <w:rsid w:val="048C6908"/>
    <w:rsid w:val="04BE5CD4"/>
    <w:rsid w:val="05984295"/>
    <w:rsid w:val="05D230B4"/>
    <w:rsid w:val="05DE4B04"/>
    <w:rsid w:val="079629B6"/>
    <w:rsid w:val="08133880"/>
    <w:rsid w:val="08C40221"/>
    <w:rsid w:val="09082EA0"/>
    <w:rsid w:val="092D151F"/>
    <w:rsid w:val="09780C17"/>
    <w:rsid w:val="0A7F1296"/>
    <w:rsid w:val="0AAC3E17"/>
    <w:rsid w:val="0B776DBE"/>
    <w:rsid w:val="0BEB585C"/>
    <w:rsid w:val="0C4F3919"/>
    <w:rsid w:val="0D91232E"/>
    <w:rsid w:val="0E053751"/>
    <w:rsid w:val="0E055DF9"/>
    <w:rsid w:val="0E0B1697"/>
    <w:rsid w:val="0E0F2C4F"/>
    <w:rsid w:val="0E633AD5"/>
    <w:rsid w:val="0E674781"/>
    <w:rsid w:val="11792B73"/>
    <w:rsid w:val="12101A96"/>
    <w:rsid w:val="126E412D"/>
    <w:rsid w:val="12701FDC"/>
    <w:rsid w:val="148D27DB"/>
    <w:rsid w:val="14EF4D58"/>
    <w:rsid w:val="1500712A"/>
    <w:rsid w:val="159422A4"/>
    <w:rsid w:val="15A96CFF"/>
    <w:rsid w:val="16052992"/>
    <w:rsid w:val="16556514"/>
    <w:rsid w:val="17254DAA"/>
    <w:rsid w:val="17C35253"/>
    <w:rsid w:val="18003519"/>
    <w:rsid w:val="186A39B1"/>
    <w:rsid w:val="191C6F44"/>
    <w:rsid w:val="194F7862"/>
    <w:rsid w:val="1968703E"/>
    <w:rsid w:val="199E7053"/>
    <w:rsid w:val="1A8B079D"/>
    <w:rsid w:val="1AEF648A"/>
    <w:rsid w:val="1BA57C60"/>
    <w:rsid w:val="1D475956"/>
    <w:rsid w:val="1D6E2232"/>
    <w:rsid w:val="1E275472"/>
    <w:rsid w:val="1F670EBE"/>
    <w:rsid w:val="1FAF31A7"/>
    <w:rsid w:val="202F37DB"/>
    <w:rsid w:val="20812CD3"/>
    <w:rsid w:val="21792985"/>
    <w:rsid w:val="21A45859"/>
    <w:rsid w:val="221E3607"/>
    <w:rsid w:val="224E18F0"/>
    <w:rsid w:val="22A04E93"/>
    <w:rsid w:val="230E1FDE"/>
    <w:rsid w:val="23172292"/>
    <w:rsid w:val="24493EA2"/>
    <w:rsid w:val="247A2CB4"/>
    <w:rsid w:val="24885FF9"/>
    <w:rsid w:val="25385BE6"/>
    <w:rsid w:val="256E7611"/>
    <w:rsid w:val="27095266"/>
    <w:rsid w:val="272F0365"/>
    <w:rsid w:val="2748726F"/>
    <w:rsid w:val="281836E2"/>
    <w:rsid w:val="2828271F"/>
    <w:rsid w:val="283D3856"/>
    <w:rsid w:val="29D73871"/>
    <w:rsid w:val="2A882B20"/>
    <w:rsid w:val="2AB93945"/>
    <w:rsid w:val="2AF2152B"/>
    <w:rsid w:val="2B0A6EDA"/>
    <w:rsid w:val="2B1B1F15"/>
    <w:rsid w:val="2B2B5FAB"/>
    <w:rsid w:val="2B6F1C70"/>
    <w:rsid w:val="2BA00406"/>
    <w:rsid w:val="2BC36AC4"/>
    <w:rsid w:val="2C387922"/>
    <w:rsid w:val="2C4D1B5F"/>
    <w:rsid w:val="2C6A6912"/>
    <w:rsid w:val="2C826344"/>
    <w:rsid w:val="2D3160C3"/>
    <w:rsid w:val="2DEC135D"/>
    <w:rsid w:val="2E73641E"/>
    <w:rsid w:val="2F685830"/>
    <w:rsid w:val="2F9B5410"/>
    <w:rsid w:val="2FBD763B"/>
    <w:rsid w:val="303F148E"/>
    <w:rsid w:val="31417419"/>
    <w:rsid w:val="31E53D28"/>
    <w:rsid w:val="32782636"/>
    <w:rsid w:val="32E5783F"/>
    <w:rsid w:val="32EC4442"/>
    <w:rsid w:val="338A31A4"/>
    <w:rsid w:val="34BB3171"/>
    <w:rsid w:val="34CC411B"/>
    <w:rsid w:val="34EE0ADF"/>
    <w:rsid w:val="355E4B8D"/>
    <w:rsid w:val="38877A0F"/>
    <w:rsid w:val="38D10EDD"/>
    <w:rsid w:val="397B5701"/>
    <w:rsid w:val="3A7D731D"/>
    <w:rsid w:val="3B3A25E9"/>
    <w:rsid w:val="3C4A1758"/>
    <w:rsid w:val="3DBF1195"/>
    <w:rsid w:val="3F112932"/>
    <w:rsid w:val="3F4714FA"/>
    <w:rsid w:val="3F6062ED"/>
    <w:rsid w:val="3FE44B28"/>
    <w:rsid w:val="404D1011"/>
    <w:rsid w:val="415327DA"/>
    <w:rsid w:val="41617F0F"/>
    <w:rsid w:val="4163614D"/>
    <w:rsid w:val="42987686"/>
    <w:rsid w:val="42F34023"/>
    <w:rsid w:val="43D2780D"/>
    <w:rsid w:val="45084FA8"/>
    <w:rsid w:val="454075F1"/>
    <w:rsid w:val="47B941D7"/>
    <w:rsid w:val="488F4315"/>
    <w:rsid w:val="48D02039"/>
    <w:rsid w:val="4902248F"/>
    <w:rsid w:val="4948718E"/>
    <w:rsid w:val="4A4B6F1B"/>
    <w:rsid w:val="4BBE0CA3"/>
    <w:rsid w:val="4BE36EBA"/>
    <w:rsid w:val="4C7070A1"/>
    <w:rsid w:val="4D363DDD"/>
    <w:rsid w:val="4D81018F"/>
    <w:rsid w:val="4D861F8C"/>
    <w:rsid w:val="4D9D487D"/>
    <w:rsid w:val="4F124A4B"/>
    <w:rsid w:val="4F9A69E4"/>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2896341"/>
    <w:rsid w:val="62AD313D"/>
    <w:rsid w:val="62D27B21"/>
    <w:rsid w:val="62E876C6"/>
    <w:rsid w:val="62F10C2F"/>
    <w:rsid w:val="632201A1"/>
    <w:rsid w:val="63901525"/>
    <w:rsid w:val="639C3257"/>
    <w:rsid w:val="63CB78BA"/>
    <w:rsid w:val="63E9507C"/>
    <w:rsid w:val="63FF2FF3"/>
    <w:rsid w:val="643939A4"/>
    <w:rsid w:val="64671BCC"/>
    <w:rsid w:val="64CD2D6D"/>
    <w:rsid w:val="666D4B16"/>
    <w:rsid w:val="672659D0"/>
    <w:rsid w:val="675D561C"/>
    <w:rsid w:val="67DE68C6"/>
    <w:rsid w:val="68063A1A"/>
    <w:rsid w:val="686F1571"/>
    <w:rsid w:val="69B51711"/>
    <w:rsid w:val="6B8F272F"/>
    <w:rsid w:val="6B90085D"/>
    <w:rsid w:val="6B983DFE"/>
    <w:rsid w:val="6BB961AF"/>
    <w:rsid w:val="6BEE4D4C"/>
    <w:rsid w:val="6DFC3D80"/>
    <w:rsid w:val="6E2075E8"/>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1</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2020-03-16T16:31:05Z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