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276" w:lineRule="auto"/>
        <w:jc w:val="center"/>
        <w:rPr>
          <w:rFonts w:hint="default" w:ascii="Times New Roman" w:hAnsi="Times New Roman" w:eastAsia="Times New Roman"/>
          <w:b/>
          <w:sz w:val="32"/>
          <w:szCs w:val="32"/>
          <w:lang w:val="pt"/>
        </w:rPr>
      </w:pPr>
    </w:p>
    <w:p>
      <w:pPr>
        <w:spacing w:beforeLines="0" w:afterLines="0" w:line="276" w:lineRule="auto"/>
        <w:jc w:val="center"/>
        <w:rPr>
          <w:rFonts w:hint="default" w:ascii="Times New Roman" w:hAnsi="Times New Roman" w:eastAsia="Times New Roman"/>
          <w:b/>
          <w:sz w:val="36"/>
          <w:szCs w:val="24"/>
          <w:lang w:val="pt"/>
        </w:rPr>
      </w:pPr>
      <w:r>
        <w:rPr>
          <w:rFonts w:hint="default" w:ascii="Times New Roman" w:hAnsi="Times New Roman" w:eastAsia="Times New Roman"/>
          <w:b/>
          <w:sz w:val="32"/>
          <w:szCs w:val="32"/>
          <w:lang w:val="pt"/>
        </w:rPr>
        <w:t>ANEXO VII - REDE FUTURA</w:t>
      </w:r>
    </w:p>
    <w:p>
      <w:pPr>
        <w:spacing w:beforeLines="0" w:afterLines="0" w:line="276" w:lineRule="auto"/>
        <w:jc w:val="left"/>
        <w:rPr>
          <w:rFonts w:hint="default" w:ascii="Calibri" w:hAnsi="Calibri" w:eastAsia="Calibri"/>
          <w:sz w:val="22"/>
          <w:szCs w:val="24"/>
          <w:lang w:val="pt"/>
        </w:rPr>
      </w:pPr>
    </w:p>
    <w:p>
      <w:pPr>
        <w:spacing w:beforeLines="0" w:afterLines="0" w:line="276" w:lineRule="auto"/>
        <w:jc w:val="left"/>
        <w:rPr>
          <w:rFonts w:hint="default" w:ascii="Times New Roman" w:hAnsi="Times New Roman" w:eastAsia="Times New Roman"/>
          <w:b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b/>
          <w:sz w:val="22"/>
          <w:szCs w:val="24"/>
          <w:lang w:val="pt"/>
        </w:rPr>
        <w:t>1. Descrição Detalhada da Rede Futura</w:t>
      </w:r>
    </w:p>
    <w:p>
      <w:pPr>
        <w:spacing w:beforeLines="0" w:afterLines="0"/>
        <w:rPr>
          <w:rFonts w:hint="default" w:ascii="Times New Roman" w:hAnsi="Times New Roman" w:eastAsia="Times New Roman"/>
          <w:color w:val="000000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000000"/>
          <w:sz w:val="22"/>
          <w:szCs w:val="24"/>
          <w:lang w:val="pt"/>
        </w:rPr>
        <w:t>A rede futura exige algumas mudanças e melhorias no espaço urbano, tais como a construção de abrigos apropriados, a extensão de pequenos trechos de via etc. Isto é, alguns dos esquemas operacionais futuros estão condicionadas a melhorias e intervenções urbanas por parte da Prefeitura de Nova Friburgo, a fim de garantir um nível de serviço apropriado para a população.</w:t>
      </w:r>
    </w:p>
    <w:p>
      <w:pPr>
        <w:spacing w:beforeLines="0" w:afterLines="0"/>
        <w:rPr>
          <w:rFonts w:hint="default" w:ascii="Times New Roman" w:hAnsi="Times New Roman" w:eastAsia="Times New Roman"/>
          <w:color w:val="000000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000000"/>
          <w:sz w:val="22"/>
          <w:szCs w:val="24"/>
          <w:lang w:val="pt"/>
        </w:rPr>
        <w:t xml:space="preserve">Nesse contexto, entende-se que um período de </w:t>
      </w:r>
      <w:r>
        <w:rPr>
          <w:rFonts w:hint="default" w:ascii="Times New Roman" w:hAnsi="Times New Roman" w:eastAsia="Times New Roman"/>
          <w:b/>
          <w:color w:val="000000"/>
          <w:sz w:val="22"/>
          <w:szCs w:val="24"/>
          <w:lang w:val="pt"/>
        </w:rPr>
        <w:t>dois anos a partir da emissão da Ordem de Serviço</w:t>
      </w:r>
      <w:r>
        <w:rPr>
          <w:rFonts w:hint="default" w:ascii="Times New Roman" w:hAnsi="Times New Roman" w:eastAsia="Times New Roman"/>
          <w:color w:val="000000"/>
          <w:sz w:val="22"/>
          <w:szCs w:val="24"/>
          <w:lang w:val="pt"/>
        </w:rPr>
        <w:t xml:space="preserve"> é o período necessário para a transição completa entre a rede inicial e a rede futura. Dentro desse período, as etapas menores e os respectivos cronogramas serão elaborados pela PMNF. A partir desse cronograma, o Concessionário, em parceria com a EGS e a PMNF, deve elaborar um plano de transição operacional apropriado.</w:t>
      </w:r>
    </w:p>
    <w:p>
      <w:pPr>
        <w:tabs>
          <w:tab w:val="left" w:pos="567"/>
        </w:tabs>
        <w:spacing w:beforeLines="0" w:afterLines="0" w:line="276" w:lineRule="auto"/>
        <w:rPr>
          <w:rFonts w:hint="default" w:ascii="Times New Roman" w:hAnsi="Times New Roman" w:eastAsia="Times New Roman"/>
          <w:color w:val="000000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000000"/>
          <w:sz w:val="22"/>
          <w:szCs w:val="24"/>
          <w:lang w:val="pt"/>
        </w:rPr>
        <w:t>Mais detalhamento a respeito da localização e da natureza dessas intervenções podem ser solicitados via pedidos de informação à PMNF, mas em sua maior parte estes têm a ver com a adequação de abrigos e áreas de transferência e, em menor quantidade, a readequação de pequenos trechos viários.</w:t>
      </w:r>
    </w:p>
    <w:p>
      <w:pPr>
        <w:spacing w:beforeLines="0" w:afterLines="0" w:line="276" w:lineRule="auto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>Tendo em vista a visão geral do Serviço Público de Transporte Coletivo de Passageiros do Município de Nova Friburgo, a rede proposta é detalhada a seguir pela apresentação da relação de linhas e terminais e seus dados operacionais.</w:t>
      </w:r>
    </w:p>
    <w:p>
      <w:pPr>
        <w:spacing w:beforeLines="0" w:afterLines="0" w:line="276" w:lineRule="auto"/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  <w:tab/>
      </w:r>
      <w:r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  <w:t>1.1 Relação de linhas e suas características básicas</w:t>
      </w:r>
    </w:p>
    <w:p>
      <w:pPr>
        <w:spacing w:beforeLines="0" w:afterLines="0" w:line="276" w:lineRule="auto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>Este item mostra as características básicas das linhas tais como numeração, nome, classificações, conforme a estrutura do sistema mostrada na Figura 8 do Termo de Referência, a região de atendimento bem como a extensão. Essas informações são mostradas na Tabela 1.</w:t>
      </w:r>
    </w:p>
    <w:p>
      <w:pPr>
        <w:spacing w:beforeLines="0" w:afterLines="0" w:line="276" w:lineRule="auto"/>
        <w:rPr>
          <w:rFonts w:hint="default" w:ascii="Times New Roman" w:hAnsi="Times New Roman" w:eastAsia="Times New Roman"/>
          <w:i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b/>
          <w:i/>
          <w:color w:val="auto"/>
          <w:sz w:val="22"/>
          <w:szCs w:val="24"/>
          <w:lang w:val="pt"/>
        </w:rPr>
        <w:t>Tabela 1.</w:t>
      </w:r>
      <w:r>
        <w:rPr>
          <w:rFonts w:hint="default" w:ascii="Times New Roman" w:hAnsi="Times New Roman" w:eastAsia="Times New Roman"/>
          <w:i/>
          <w:color w:val="auto"/>
          <w:sz w:val="22"/>
          <w:szCs w:val="24"/>
          <w:lang w:val="pt"/>
        </w:rPr>
        <w:t xml:space="preserve"> Relação de linhas da Rede Futura e suas características básicas</w:t>
      </w:r>
    </w:p>
    <w:p>
      <w:pPr>
        <w:spacing w:beforeLines="0" w:afterLines="0"/>
        <w:ind w:left="-1134"/>
        <w:jc w:val="left"/>
        <w:rPr>
          <w:rFonts w:hint="default" w:ascii="Calibri" w:hAnsi="Calibri" w:eastAsia="Calibri"/>
          <w:color w:val="auto"/>
          <w:sz w:val="22"/>
          <w:szCs w:val="24"/>
          <w:lang w:val="pt"/>
        </w:rPr>
      </w:pPr>
    </w:p>
    <w:tbl>
      <w:tblPr>
        <w:tblStyle w:val="7"/>
        <w:tblW w:w="0" w:type="auto"/>
        <w:tblInd w:w="-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099"/>
        <w:gridCol w:w="1560"/>
        <w:gridCol w:w="1642"/>
        <w:gridCol w:w="1678"/>
        <w:gridCol w:w="10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Linha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Nome da Linha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Rede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Tipo de Linha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Terminal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Extensão (km)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02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&lt;&gt;Perissê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Convencional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15,07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03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&lt;&gt;Vale dos Pinheiros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Convencional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11,10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&lt;&gt;Catarcione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Convencional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20,86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&lt;&gt;Tingly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Convencional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4,47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&lt;&gt;Granja Spinelli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Convencional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16,09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&lt;&gt;Alto de Olaria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Convencional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13,33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&lt;&gt;Alto de Olaria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Convencional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11,48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Olaria &lt;&gt;Conselheiro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Estruturante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Parador/Expresso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-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19,65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Alto de Olaria &lt;&gt;Nova Suiça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Estruturante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Parador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-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25,43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Ponte da Saudade &lt;&gt;Duas Pedras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Estruturante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Parador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-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35,35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Cascatinha &lt;&gt;São Geraldo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Estruturante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Parador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-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32,37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&lt;&gt;Jardinlândia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Especial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-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Duas Pedras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12,57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&lt;&gt;Cônego/Granja do Céu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Especial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-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Olaria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17,71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19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&lt;&gt;Cônego/Sítio São Luiz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Especial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-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Olaria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15,74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&lt;&gt;Riograndina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Estruturante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Parador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Conselheiro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28,86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24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&lt;&gt;Jardim Califórnia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Especial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-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Conselheiro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17,16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Olaria &lt;&gt;São Jorge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Especial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-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Conselheiro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22,25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&lt;&gt;Alto do Floresta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Especial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-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Conselheiro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20,17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27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&lt;&gt;Fazenda da Laje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Especial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-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Conselheiro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23,74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28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&lt;&gt;Maria Teresa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Especial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-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Conselheiro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22,44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29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Olaria &lt;&gt;Terra Nova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Especial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-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Conselheiro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23,99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30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&lt;&gt;Amparo/Éden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Especial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-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Boa Ventura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30,27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&lt;&gt;Paraíso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Estruturante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Parador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-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14,68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34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&lt;&gt;Toledo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Especial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-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Boa Ventura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22,35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36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&lt;&gt;Amparo/Barroso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Especial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-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Boa Ventura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36,29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40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&lt;&gt;Theodoro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Estruturante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Parador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Mury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32,78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45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&lt;&gt;Varginha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Especial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-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Ponte da Saudade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20,10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47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&lt;&gt;Lumiar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Estruturante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Parador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Lumiar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64,86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53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&lt;&gt;Conquista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Estruturante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Parador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Campo do Coelho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51,38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55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&lt;&gt;São Lourenço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Estruturante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Parador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Campo do Coelho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89,87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58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Estação Livre &lt;&gt;Campo do Coelho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Estruturante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Parador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Campo do Coelho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33,95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108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Duas Pedras &lt;&gt;São Cristóvão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Duas Pedras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3,77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116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Duas Pedras &lt;&gt;Rui Sanglard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Duas Pedras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4,82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117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Duas Pedras &lt;&gt;Jardinlândia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Duas Pedras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6,21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Duas Pedras &lt;&gt;Cardinot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Duas Pedras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27,11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152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Duas Pedras &lt;&gt;Santa Bernardete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Duas Pedras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11,57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153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Duas Pedras &lt;&gt;Nova Esperança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Duas Pedras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9,94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154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Duas Pedras &lt;&gt;Vale da Montanha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Duas Pedras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12,78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157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Duas Pedras &lt;&gt;Rio Grande de Cima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Convencional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Duas Pedras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40,90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Conselheiro &lt;&gt;Riograndina/Maringá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Conselheiro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11,59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202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Conselheiro &lt;&gt;Riograndina/Serraria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Conselheiro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29,33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Conselheiro &lt;&gt;Alto do Catete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Conselheiro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16,19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224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Terra Nova &lt;&gt;Jardim Califórnia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Conselheiro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10,99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226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Bairro Novo &lt;&gt;Alto do Floresta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Conselheiro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11,38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227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Marajói &lt;&gt;Fazenda da Laje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Conselheiro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16,39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228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Conselheiro &lt;&gt;Maria Teresa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Conselheiro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7,54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250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São Jorge &lt;&gt;Granja Mimosa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Conselheiro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8,65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330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Boa Ventura &lt;&gt;Amparo/Éden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Boa Ventura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20,48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333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Boa Ventura &lt;&gt;Alto Schuenk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Boa Ventura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36,40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334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Boa Ventura &lt;&gt;Toledo/Jardim dos Reis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Boa Ventura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14,17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336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Boa Ventura &lt;&gt;Amparo/Barroso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Boa Ventura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26,50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440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Ponte da Saudade &lt;&gt;Loteamento Folly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Ponte da Saudade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16,30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441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Ponte da Saudade &lt;&gt;Alto do Mozer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Ponte da Saudade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7,75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442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Ponte da Saudade &lt;&gt;Hospital do Câncer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Ponte da Saudade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2,82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445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Ponte da Saudade &lt;&gt;Varginha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Ponte da Saudade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10,80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645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Stucky &lt;&gt;Vargem Alta/Colonial 61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Stucky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42,64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646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Stucky &lt;&gt;Vargem Alta/Cachoeira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Stucky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42,64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647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Boa Esperança &lt;&gt;Bocaína dos Blaudts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Lumiar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25,12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648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Benfica &lt;&gt;Santa Luzia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Lumiar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26,81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649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Macaé de Cima &lt;&gt;Rio Bonito de Cima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Macaé DE Cima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65,70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818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Olaria &lt;&gt;Cônego/Granja do Céu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Olaria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11,55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819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Olaria &lt;&gt;Cônego/Sítio São Luiz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Olaria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9,45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844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Olaria &lt;&gt;Cascatinha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Olaria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9,81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953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Queijaria &lt;&gt;Alto dos Vieiras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Queijaria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16,82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954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Queijaria &lt;&gt;Pilões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Queijaria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18,56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955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Ceasa &lt;&gt;Fazenda Rio Grande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Conquista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16,47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956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Ceasa &lt;&gt;Barracão dos Mendes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Conquista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14,19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957</w:t>
            </w:r>
          </w:p>
        </w:tc>
        <w:tc>
          <w:tcPr>
            <w:tcW w:w="3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Ceasa &lt;&gt;Salinas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Local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Alimentador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Conquista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30,78</w:t>
            </w:r>
          </w:p>
        </w:tc>
      </w:tr>
    </w:tbl>
    <w:p>
      <w:pPr>
        <w:spacing w:beforeLines="0" w:afterLines="0"/>
        <w:rPr>
          <w:rFonts w:hint="default" w:ascii="Calibri" w:hAnsi="Calibri" w:eastAsia="Calibri"/>
          <w:color w:val="auto"/>
          <w:sz w:val="22"/>
          <w:szCs w:val="24"/>
          <w:lang w:val="pt"/>
        </w:rPr>
      </w:pPr>
    </w:p>
    <w:p>
      <w:pPr>
        <w:spacing w:beforeLines="0" w:afterLines="0"/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  <w:tab/>
      </w:r>
      <w:r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  <w:tab/>
      </w:r>
      <w:r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  <w:t>1.1.1. Terminais e pontos de conexão</w:t>
      </w:r>
    </w:p>
    <w:p>
      <w:pPr>
        <w:spacing w:beforeLines="0" w:afterLines="0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>A reorganização em uma divisão entre rede estruturante e rede local sugere que algumas das viagens mais longas sejam proporcionadas pelo uso de mais de uma linha, o que exige a necessidade de transbordo em áreas fora da região central. De forma a amenizar a introdução dessa dinâmica, foi determinada não apenas uma política tarifária apropriada, mas também uma reconfiguração das linhas da rede local que se balizasse em espaços adequados para a integração.</w:t>
      </w:r>
    </w:p>
    <w:p>
      <w:pPr>
        <w:spacing w:beforeLines="0" w:afterLines="0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>Foram identificados 12 locais estratégicos que serviriam como as principais áreas para realização do transbordo, conforme mostrado na</w:t>
      </w:r>
      <w:r>
        <w:rPr>
          <w:rFonts w:hint="default" w:ascii="Times New Roman" w:hAnsi="Times New Roman" w:eastAsia="Times New Roman"/>
          <w:color w:val="000000"/>
          <w:sz w:val="22"/>
          <w:szCs w:val="24"/>
          <w:lang w:val="pt"/>
        </w:rPr>
        <w:t xml:space="preserve"> Figura 9 e 10 do Termo de Referência</w:t>
      </w: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>. A rede se subdivide em conjuntos que se concentram nesses pontos de referência. A nomenclatura dos códigos de cada linha da rede local reflete essa subdivisão, reservando uma centena como o domínio das áreas de transbordo.</w:t>
      </w:r>
    </w:p>
    <w:p>
      <w:pPr>
        <w:spacing w:beforeLines="0" w:after="240" w:afterLines="0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 xml:space="preserve">as linhas convencionais têm código com apenas um número e têm como referência o ponto de conexão no </w:t>
      </w:r>
      <w:r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  <w:t>Terminal Estação Livre</w:t>
      </w: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>, localizado na Praça Getúlio Vargas;</w:t>
      </w:r>
    </w:p>
    <w:p>
      <w:pPr>
        <w:spacing w:beforeLines="0" w:after="240" w:afterLines="0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 xml:space="preserve">as linhas alimentadoras com código pertencente à centena 100 têm como principal área de transferência o ponto de conexão no </w:t>
      </w:r>
      <w:r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  <w:t>Terminal Norte em Duas Pedras</w:t>
      </w: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>;</w:t>
      </w:r>
    </w:p>
    <w:p>
      <w:pPr>
        <w:spacing w:beforeLines="0" w:after="240" w:afterLines="0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 xml:space="preserve">as linhas alimentadoras com código pertencente à centena 200 têm como principal área de transferência o ponto de conexão na praça principal de </w:t>
      </w:r>
      <w:r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  <w:t>Conselheiro</w:t>
      </w: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>;</w:t>
      </w:r>
    </w:p>
    <w:p>
      <w:pPr>
        <w:spacing w:beforeLines="0" w:after="240" w:afterLines="0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 xml:space="preserve">as linhas alimentadoras com código pertencente à centena 300 têm como principal área de transferência o ponto de conexão no Centro Municipal de Educação Infantil Vereador Adahil da Cruz, em </w:t>
      </w:r>
      <w:r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  <w:t>Boa Ventura</w:t>
      </w: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>;</w:t>
      </w:r>
    </w:p>
    <w:p>
      <w:pPr>
        <w:spacing w:beforeLines="0" w:after="240" w:afterLines="0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 xml:space="preserve">as linhas alimentadoras com código pertencente à centena 400 têm como principal área de transferência o ponto de conexão no </w:t>
      </w:r>
      <w:r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  <w:t>Terminal Sul em Ponte da Saudade</w:t>
      </w: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>;</w:t>
      </w:r>
    </w:p>
    <w:p>
      <w:pPr>
        <w:spacing w:beforeLines="0" w:after="240" w:afterLines="0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 xml:space="preserve">as linhas alimentadoras com código pertencente à centena 600 fazem transferência em três pontos de conexão: </w:t>
      </w:r>
      <w:r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  <w:t>Estrada Stucky</w:t>
      </w: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 xml:space="preserve"> (no distrito de Mury), </w:t>
      </w:r>
      <w:r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  <w:t>Estrada Macaé de Cima</w:t>
      </w: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 xml:space="preserve"> (no distrito de Lumiar) e a praça principal do centro de </w:t>
      </w:r>
      <w:r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  <w:t>Lumiar</w:t>
      </w: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>;</w:t>
      </w:r>
    </w:p>
    <w:p>
      <w:pPr>
        <w:spacing w:beforeLines="0" w:after="240" w:afterLines="0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 xml:space="preserve">as linhas alimentadoras com código pertencente à centena 800 fazem transferência o ponto de conexão na praça principal de </w:t>
      </w:r>
      <w:r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  <w:t>Olaria</w:t>
      </w: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>; e</w:t>
      </w:r>
    </w:p>
    <w:p>
      <w:pPr>
        <w:spacing w:beforeLines="0" w:after="240" w:afterLines="0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 xml:space="preserve">as linhas alimentadoras com código pertencente à centena 900 fazem transferência nas áreas de referência da rodovia RJ-130, os pontos de conexão: </w:t>
      </w:r>
      <w:r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  <w:t>Conquista</w:t>
      </w: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 xml:space="preserve"> e</w:t>
      </w:r>
      <w:r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  <w:t xml:space="preserve"> Queijaria</w:t>
      </w: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>;</w:t>
      </w:r>
    </w:p>
    <w:p>
      <w:pPr>
        <w:spacing w:beforeLines="0" w:afterLines="0" w:line="276" w:lineRule="auto"/>
        <w:rPr>
          <w:rFonts w:hint="default" w:ascii="Calibri" w:hAnsi="Calibri" w:eastAsia="Calibri"/>
          <w:color w:val="auto"/>
          <w:sz w:val="22"/>
          <w:szCs w:val="24"/>
          <w:lang w:val="pt"/>
        </w:rPr>
      </w:pPr>
    </w:p>
    <w:p>
      <w:pPr>
        <w:spacing w:beforeLines="0" w:afterLines="0" w:line="276" w:lineRule="auto"/>
        <w:ind w:left="-1134"/>
        <w:rPr>
          <w:rFonts w:hint="default" w:ascii="Calibri" w:hAnsi="Calibri" w:eastAsia="Calibri"/>
          <w:color w:val="auto"/>
          <w:sz w:val="22"/>
          <w:szCs w:val="24"/>
          <w:lang w:val="pt"/>
        </w:rPr>
      </w:pPr>
      <w:r>
        <w:rPr>
          <w:rFonts w:hint="default" w:ascii="Calibri" w:hAnsi="Calibri" w:eastAsia="Calibri"/>
          <w:color w:val="auto"/>
          <w:sz w:val="22"/>
          <w:szCs w:val="24"/>
          <w:lang w:val="pt"/>
        </w:rPr>
        <w:drawing>
          <wp:inline distT="0" distB="0" distL="114300" distR="114300">
            <wp:extent cx="6858000" cy="3657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beforeLines="0" w:after="120" w:afterLines="0" w:line="276" w:lineRule="auto"/>
        <w:rPr>
          <w:rFonts w:hint="default" w:ascii="Times New Roman" w:hAnsi="Times New Roman" w:eastAsia="Times New Roman"/>
          <w:i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b/>
          <w:i/>
          <w:color w:val="auto"/>
          <w:sz w:val="22"/>
          <w:szCs w:val="24"/>
          <w:lang w:val="pt"/>
        </w:rPr>
        <w:t>Figura 11 do Termo de referência.</w:t>
      </w:r>
      <w:r>
        <w:rPr>
          <w:rFonts w:hint="default" w:ascii="Times New Roman" w:hAnsi="Times New Roman" w:eastAsia="Times New Roman"/>
          <w:i/>
          <w:color w:val="auto"/>
          <w:sz w:val="22"/>
          <w:szCs w:val="24"/>
          <w:lang w:val="pt"/>
        </w:rPr>
        <w:t xml:space="preserve"> Pontos de conexão</w:t>
      </w:r>
    </w:p>
    <w:p>
      <w:pPr>
        <w:spacing w:beforeLines="0" w:afterLines="0" w:line="276" w:lineRule="auto"/>
        <w:rPr>
          <w:rFonts w:hint="default" w:ascii="Calibri" w:hAnsi="Calibri" w:eastAsia="Calibri"/>
          <w:color w:val="auto"/>
          <w:sz w:val="22"/>
          <w:szCs w:val="24"/>
          <w:lang w:val="pt"/>
        </w:rPr>
      </w:pPr>
    </w:p>
    <w:p>
      <w:pPr>
        <w:spacing w:beforeLines="0" w:afterLines="0"/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  <w:tab/>
      </w:r>
      <w:r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  <w:tab/>
      </w:r>
      <w:r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  <w:t>1.1.2. Dados operacionais da Rede Futura</w:t>
      </w:r>
    </w:p>
    <w:p>
      <w:pPr>
        <w:spacing w:beforeLines="0" w:afterLines="0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>Neste item são apresentados os dados operacionais das linhas que comporão a Rede Futura, tais como: demanda mensal estimada (Tabela 2), oferta de viagens no dia útil (Tabela 3), oferta de viagens por tipo de dia e mensal (Tabela 4) e produção quilométrica por tipo de dia e mensal (Tabela 5).</w:t>
      </w:r>
    </w:p>
    <w:p>
      <w:pPr>
        <w:spacing w:beforeLines="0" w:afterLines="0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 xml:space="preserve">Essas tabelas foram montadas a partir de dados contemporâneos ao processo licitatório e estão aqui, pois, se entende que constituem insumo pertinente para o processo decisório. Todavia, quando esta Rede Futura for de fato implementada, já haverá se passado um tempo razoável de operação da </w:t>
      </w:r>
      <w:r>
        <w:rPr>
          <w:rFonts w:hint="default" w:ascii="Times New Roman" w:hAnsi="Times New Roman" w:eastAsia="Times New Roman"/>
          <w:b/>
          <w:color w:val="auto"/>
          <w:sz w:val="22"/>
          <w:szCs w:val="24"/>
          <w:lang w:val="pt"/>
        </w:rPr>
        <w:t>Rede Inicial — ver Seção 3 do termo de referência</w:t>
      </w: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 xml:space="preserve"> —, o que implica em uma longa série histórica de dados operacionais e relativos à demanda. Portanto, os dados aqui presentes devem ser reavaliados frente às novas informações que estarão disponíveis no futuro.</w:t>
      </w:r>
    </w:p>
    <w:p>
      <w:pPr>
        <w:spacing w:beforeLines="0" w:afterLines="0"/>
        <w:rPr>
          <w:rFonts w:hint="default" w:ascii="Calibri" w:hAnsi="Calibri" w:eastAsia="Calibri"/>
          <w:color w:val="auto"/>
          <w:sz w:val="22"/>
          <w:szCs w:val="24"/>
          <w:lang w:val="pt"/>
        </w:rPr>
      </w:pPr>
    </w:p>
    <w:p>
      <w:pPr>
        <w:spacing w:beforeLines="0" w:afterLines="0" w:line="276" w:lineRule="auto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 xml:space="preserve">Posto isso, a </w:t>
      </w:r>
      <w:r>
        <w:rPr>
          <w:rFonts w:hint="default" w:ascii="Times New Roman" w:hAnsi="Times New Roman" w:eastAsia="Times New Roman"/>
          <w:color w:val="auto"/>
          <w:sz w:val="22"/>
          <w:szCs w:val="24"/>
          <w:u w:val="single"/>
          <w:lang w:val="pt"/>
        </w:rPr>
        <w:t>Tabela 2</w:t>
      </w: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 xml:space="preserve"> mostra a demanda mensal estimada para cada uma das linhas com dados do total de passageiros transportados e da demanda equivalente de passageiros.</w:t>
      </w:r>
    </w:p>
    <w:p>
      <w:pPr>
        <w:spacing w:before="120" w:beforeLines="0" w:after="120" w:afterLines="0"/>
        <w:rPr>
          <w:rFonts w:hint="default" w:ascii="Times New Roman" w:hAnsi="Times New Roman" w:eastAsia="Times New Roman"/>
          <w:i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b/>
          <w:i/>
          <w:color w:val="auto"/>
          <w:sz w:val="22"/>
          <w:szCs w:val="24"/>
          <w:lang w:val="pt"/>
        </w:rPr>
        <w:t>Tabela 2.</w:t>
      </w:r>
      <w:r>
        <w:rPr>
          <w:rFonts w:hint="default" w:ascii="Times New Roman" w:hAnsi="Times New Roman" w:eastAsia="Times New Roman"/>
          <w:i/>
          <w:color w:val="auto"/>
          <w:sz w:val="22"/>
          <w:szCs w:val="24"/>
          <w:lang w:val="pt"/>
        </w:rPr>
        <w:t xml:space="preserve"> Demanda mensal estimada da Rede Futura (passageiros transportados e passageiros equivalentes)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522"/>
        <w:gridCol w:w="2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Linha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Passageiros Transportados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Passageiros Equivalentes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02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1163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03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16518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7594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39238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1856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16507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5120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10537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371034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197472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88081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43154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95149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54477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158972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101446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4843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4175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19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8180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126249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82205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24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26618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32319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21828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17856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27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7695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28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11749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7355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29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34678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23098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30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15824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31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21544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34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36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13517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40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80949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52708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45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16757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47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86390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50819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53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54424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39389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55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51155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35219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58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26148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108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2723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116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15201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117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11838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151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7966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152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13628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153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22174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154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9180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157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4394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201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10715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202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25369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221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15141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224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65857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226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20704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227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17526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228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18929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250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28953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330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31336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333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5957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334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2554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336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22523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440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441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4321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442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445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22843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645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3894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646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3894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647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44428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648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6830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649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7596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818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5158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819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11680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844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8484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953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3527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954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754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955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956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12224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957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4308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1669</w:t>
            </w:r>
          </w:p>
        </w:tc>
      </w:tr>
    </w:tbl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szCs w:val="24"/>
          <w:lang w:val="pt"/>
        </w:rPr>
      </w:pPr>
    </w:p>
    <w:p>
      <w:pPr>
        <w:spacing w:beforeLines="0" w:afterLines="0" w:line="276" w:lineRule="auto"/>
        <w:rPr>
          <w:rFonts w:hint="default" w:ascii="Calibri" w:hAnsi="Calibri" w:eastAsia="Calibri"/>
          <w:color w:val="auto"/>
          <w:sz w:val="22"/>
          <w:szCs w:val="24"/>
          <w:lang w:val="pt"/>
        </w:rPr>
      </w:pPr>
    </w:p>
    <w:p>
      <w:pPr>
        <w:spacing w:beforeLines="0" w:afterLines="0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 xml:space="preserve">A </w:t>
      </w:r>
      <w:r>
        <w:rPr>
          <w:rFonts w:hint="default" w:ascii="Times New Roman" w:hAnsi="Times New Roman" w:eastAsia="Times New Roman"/>
          <w:color w:val="auto"/>
          <w:sz w:val="22"/>
          <w:szCs w:val="24"/>
          <w:u w:val="single"/>
          <w:lang w:val="pt"/>
        </w:rPr>
        <w:t>Tabela 3</w:t>
      </w: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 xml:space="preserve"> apresenta o tipo de operação da linha – operação ao longo do dia (dia), operação somente nos períodos de pico (pico), ou operação somente fora dos períodos de pico (fora-pico) – os valores do </w:t>
      </w:r>
      <w:r>
        <w:rPr>
          <w:rFonts w:hint="default" w:ascii="Times New Roman" w:hAnsi="Times New Roman" w:eastAsia="Times New Roman"/>
          <w:i/>
          <w:color w:val="auto"/>
          <w:sz w:val="22"/>
          <w:szCs w:val="24"/>
          <w:lang w:val="pt"/>
        </w:rPr>
        <w:t>headway</w:t>
      </w: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 xml:space="preserve"> (intervalo entre dois veículos) máximo dos períodos de pico (em minutos) e a quantidade de viagens total na operação de um dia útil.</w:t>
      </w:r>
    </w:p>
    <w:p>
      <w:pPr>
        <w:spacing w:beforeLines="0" w:afterLines="0"/>
        <w:rPr>
          <w:rFonts w:hint="default" w:ascii="Calibri" w:hAnsi="Calibri" w:eastAsia="Calibri"/>
          <w:color w:val="auto"/>
          <w:sz w:val="22"/>
          <w:szCs w:val="24"/>
          <w:lang w:val="pt"/>
        </w:rPr>
      </w:pPr>
    </w:p>
    <w:p>
      <w:pPr>
        <w:spacing w:before="120" w:beforeLines="0" w:after="120" w:afterLines="0"/>
        <w:rPr>
          <w:rFonts w:hint="default" w:ascii="Times New Roman" w:hAnsi="Times New Roman" w:eastAsia="Times New Roman"/>
          <w:i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b/>
          <w:i/>
          <w:color w:val="auto"/>
          <w:sz w:val="22"/>
          <w:szCs w:val="24"/>
          <w:lang w:val="pt"/>
        </w:rPr>
        <w:t>Tabela 3.</w:t>
      </w:r>
      <w:r>
        <w:rPr>
          <w:rFonts w:hint="default" w:ascii="Times New Roman" w:hAnsi="Times New Roman" w:eastAsia="Times New Roman"/>
          <w:i/>
          <w:color w:val="auto"/>
          <w:sz w:val="22"/>
          <w:szCs w:val="24"/>
          <w:lang w:val="pt"/>
        </w:rPr>
        <w:t xml:space="preserve"> Oferta de viagens da Rede Futura no dia útil – headway máximo (em minutos) e quantidade de viagens nos dias úteis (por dia)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szCs w:val="24"/>
          <w:lang w:val="pt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961"/>
        <w:gridCol w:w="2456"/>
        <w:gridCol w:w="2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Linha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Período de operação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Headway Máximo no Pico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Total de Viagens no Dia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02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03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pico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pico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19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pico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24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pico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pico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pico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27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pico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28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pico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29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pico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30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pico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31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34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pico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36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pico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40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45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pico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47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53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55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58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108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116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117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151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152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153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154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157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201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202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221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224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226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227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228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250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330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333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334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336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fora-pico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-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440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441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442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445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645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646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647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648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649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818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819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844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953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954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955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956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957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dia</w:t>
            </w: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180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</w:tr>
    </w:tbl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szCs w:val="24"/>
          <w:lang w:val="pt"/>
        </w:rPr>
      </w:pPr>
    </w:p>
    <w:p>
      <w:pPr>
        <w:spacing w:beforeLines="0" w:afterLines="0" w:line="276" w:lineRule="auto"/>
        <w:rPr>
          <w:rFonts w:hint="default" w:ascii="Calibri" w:hAnsi="Calibri" w:eastAsia="Calibri"/>
          <w:color w:val="auto"/>
          <w:sz w:val="22"/>
          <w:szCs w:val="24"/>
          <w:lang w:val="pt"/>
        </w:rPr>
      </w:pPr>
    </w:p>
    <w:p>
      <w:pPr>
        <w:spacing w:beforeLines="0" w:afterLines="0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 xml:space="preserve">Os dados referentes à oferta de viagens diária nos diferentes dias da semana (dia útil, sábados e domingos) e a oferta de viagens mensal são apresentados na </w:t>
      </w:r>
      <w:r>
        <w:rPr>
          <w:rFonts w:hint="default" w:ascii="Times New Roman" w:hAnsi="Times New Roman" w:eastAsia="Times New Roman"/>
          <w:color w:val="auto"/>
          <w:sz w:val="22"/>
          <w:szCs w:val="24"/>
          <w:u w:val="single"/>
          <w:lang w:val="pt"/>
        </w:rPr>
        <w:t>Tabela 4</w:t>
      </w: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>.</w:t>
      </w:r>
    </w:p>
    <w:p>
      <w:pPr>
        <w:spacing w:beforeLines="0" w:afterLines="0"/>
        <w:rPr>
          <w:rFonts w:hint="default" w:ascii="Calibri" w:hAnsi="Calibri" w:eastAsia="Calibri"/>
          <w:color w:val="auto"/>
          <w:sz w:val="22"/>
          <w:szCs w:val="24"/>
          <w:lang w:val="pt"/>
        </w:rPr>
      </w:pPr>
    </w:p>
    <w:p>
      <w:pPr>
        <w:spacing w:before="120" w:beforeLines="0" w:after="120" w:afterLines="0"/>
        <w:rPr>
          <w:rFonts w:hint="default" w:ascii="Times New Roman" w:hAnsi="Times New Roman" w:eastAsia="Times New Roman"/>
          <w:i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b/>
          <w:i/>
          <w:color w:val="auto"/>
          <w:sz w:val="22"/>
          <w:szCs w:val="24"/>
          <w:lang w:val="pt"/>
        </w:rPr>
        <w:t>Tabela 4.</w:t>
      </w:r>
      <w:r>
        <w:rPr>
          <w:rFonts w:hint="default" w:ascii="Times New Roman" w:hAnsi="Times New Roman" w:eastAsia="Times New Roman"/>
          <w:i/>
          <w:color w:val="auto"/>
          <w:sz w:val="22"/>
          <w:szCs w:val="24"/>
          <w:lang w:val="pt"/>
        </w:rPr>
        <w:t xml:space="preserve"> Oferta de viagens na Rede Futura por tipo de dia – dia útil., sábado e domingo – e mensal (quantidade de viagens)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0"/>
        <w:gridCol w:w="960"/>
        <w:gridCol w:w="96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Linha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DU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Sáb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Dom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Mês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162</w:t>
            </w:r>
          </w:p>
        </w:tc>
      </w:tr>
    </w:tbl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szCs w:val="24"/>
          <w:lang w:val="pt"/>
        </w:rPr>
      </w:pPr>
    </w:p>
    <w:p>
      <w:pPr>
        <w:spacing w:beforeLines="0" w:afterLines="0" w:line="276" w:lineRule="auto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>Tendo em vista a oferta de viagens apresentada na tabela anterior, a Tabela 5 mostra a produção quilométrica (em km) para os diferentes tipos de dia (dia útil, sábados e domingos) e mensal.</w:t>
      </w:r>
    </w:p>
    <w:p>
      <w:pPr>
        <w:spacing w:beforeLines="0" w:afterLines="0" w:line="276" w:lineRule="auto"/>
        <w:rPr>
          <w:rFonts w:hint="default" w:ascii="Calibri" w:hAnsi="Calibri" w:eastAsia="Calibri"/>
          <w:color w:val="auto"/>
          <w:sz w:val="22"/>
          <w:szCs w:val="24"/>
          <w:lang w:val="pt"/>
        </w:rPr>
      </w:pPr>
    </w:p>
    <w:p>
      <w:pPr>
        <w:spacing w:before="120" w:beforeLines="0" w:after="120" w:afterLines="0"/>
        <w:rPr>
          <w:rFonts w:hint="default" w:ascii="Times New Roman" w:hAnsi="Times New Roman" w:eastAsia="Times New Roman"/>
          <w:i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b/>
          <w:i/>
          <w:color w:val="auto"/>
          <w:sz w:val="22"/>
          <w:szCs w:val="24"/>
          <w:lang w:val="pt"/>
        </w:rPr>
        <w:t>Tabela 5.</w:t>
      </w:r>
      <w:r>
        <w:rPr>
          <w:rFonts w:hint="default" w:ascii="Times New Roman" w:hAnsi="Times New Roman" w:eastAsia="Times New Roman"/>
          <w:i/>
          <w:color w:val="auto"/>
          <w:sz w:val="22"/>
          <w:szCs w:val="24"/>
          <w:lang w:val="pt"/>
        </w:rPr>
        <w:t xml:space="preserve"> Produção quilométrica da Rede Futura por tipo de dia – dia útil sábado e domingo – e mensal (em km)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80"/>
        <w:gridCol w:w="980"/>
        <w:gridCol w:w="980"/>
        <w:gridCol w:w="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Linha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DU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Sáb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Dom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Mês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292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7845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193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2161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1847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1631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61508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763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661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585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1061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1392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46150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79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1443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1241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1097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41134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245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288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294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885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590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1881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1395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52757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719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1618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1528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899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407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377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77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327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245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245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293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293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194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194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242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242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7067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197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197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228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78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246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364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196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70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129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193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193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172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377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327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352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161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649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394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329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197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818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844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69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202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101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149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74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132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85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57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3023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957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185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154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92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2"/>
                <w:szCs w:val="24"/>
                <w:lang w:val="pt"/>
              </w:rPr>
              <w:t>4985</w:t>
            </w:r>
          </w:p>
        </w:tc>
      </w:tr>
    </w:tbl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szCs w:val="24"/>
          <w:lang w:val="pt"/>
        </w:rPr>
      </w:pPr>
    </w:p>
    <w:p>
      <w:pPr>
        <w:spacing w:beforeLines="0" w:afterLines="0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>Conforme visto na Tabela 1, estão previstos serviços expressos e serviços paradores para a Linha 10. Nesse caso, quando do início da operação, os totais apresentados para essa linha nas tabelas acima devem ser divididos entre esses dois tipos de serviço. A medida exata dessa divisão deve ser definida conforme a demanda apurada ao longo da Concessão.</w:t>
      </w:r>
    </w:p>
    <w:p>
      <w:pPr>
        <w:spacing w:beforeLines="0" w:afterLines="0"/>
        <w:rPr>
          <w:rFonts w:hint="default" w:ascii="Calibri" w:hAnsi="Calibri" w:eastAsia="Calibri"/>
          <w:color w:val="auto"/>
          <w:sz w:val="22"/>
          <w:szCs w:val="24"/>
          <w:lang w:val="pt"/>
        </w:rPr>
      </w:pPr>
    </w:p>
    <w:p>
      <w:pPr>
        <w:spacing w:beforeLines="0" w:afterLines="0" w:line="276" w:lineRule="auto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 xml:space="preserve">Enfim, a operação descrita ao longo dessa seção demandará o empenho de uma frota de 125 veículos conforme detalhado na </w:t>
      </w:r>
      <w:r>
        <w:rPr>
          <w:rFonts w:hint="default" w:ascii="Times New Roman" w:hAnsi="Times New Roman" w:eastAsia="Times New Roman"/>
          <w:color w:val="auto"/>
          <w:sz w:val="22"/>
          <w:szCs w:val="24"/>
          <w:u w:val="single"/>
          <w:lang w:val="pt"/>
        </w:rPr>
        <w:t>Tabela 6</w:t>
      </w: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>, que apresenta também a frota total (incluindo veículos reservas) e a produção quilométrica produtiva, por classe de veículo.</w:t>
      </w:r>
    </w:p>
    <w:p>
      <w:pPr>
        <w:spacing w:beforeLines="0" w:afterLines="0" w:line="276" w:lineRule="auto"/>
        <w:rPr>
          <w:rFonts w:hint="default" w:ascii="Calibri" w:hAnsi="Calibri" w:eastAsia="Calibri"/>
          <w:color w:val="auto"/>
          <w:sz w:val="22"/>
          <w:szCs w:val="24"/>
          <w:lang w:val="pt"/>
        </w:rPr>
      </w:pPr>
    </w:p>
    <w:p>
      <w:pPr>
        <w:spacing w:before="120" w:beforeLines="0" w:after="120" w:afterLines="0"/>
        <w:rPr>
          <w:rFonts w:hint="default" w:ascii="Times New Roman" w:hAnsi="Times New Roman" w:eastAsia="Times New Roman"/>
          <w:i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b/>
          <w:i/>
          <w:color w:val="auto"/>
          <w:sz w:val="22"/>
          <w:szCs w:val="24"/>
          <w:lang w:val="pt"/>
        </w:rPr>
        <w:t>Tabela 6.</w:t>
      </w:r>
      <w:r>
        <w:rPr>
          <w:rFonts w:hint="default" w:ascii="Times New Roman" w:hAnsi="Times New Roman" w:eastAsia="Times New Roman"/>
          <w:i/>
          <w:color w:val="auto"/>
          <w:sz w:val="22"/>
          <w:szCs w:val="24"/>
          <w:lang w:val="pt"/>
        </w:rPr>
        <w:t xml:space="preserve"> Frota operacional, frota total e produção quilométrica produtiva da </w:t>
      </w:r>
      <w:r>
        <w:rPr>
          <w:rFonts w:hint="default" w:ascii="Times New Roman" w:hAnsi="Times New Roman" w:eastAsia="Times New Roman"/>
          <w:b/>
          <w:i/>
          <w:color w:val="auto"/>
          <w:sz w:val="22"/>
          <w:szCs w:val="24"/>
          <w:lang w:val="pt"/>
        </w:rPr>
        <w:t>Rede Futura</w:t>
      </w:r>
      <w:r>
        <w:rPr>
          <w:rFonts w:hint="default" w:ascii="Times New Roman" w:hAnsi="Times New Roman" w:eastAsia="Times New Roman"/>
          <w:i/>
          <w:color w:val="auto"/>
          <w:sz w:val="22"/>
          <w:szCs w:val="24"/>
          <w:lang w:val="pt"/>
        </w:rPr>
        <w:t xml:space="preserve"> por categoria de veículo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95"/>
        <w:gridCol w:w="1984"/>
        <w:gridCol w:w="2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Veículo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Frota operacional (veículos)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Frota total (veículos)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BFBFBF"/>
            <w:noWrap w:val="0"/>
            <w:vAlign w:val="center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Produção Quilométrica produtiva (km)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VAN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2"/>
                <w:szCs w:val="24"/>
                <w:lang w:val="pt"/>
              </w:rPr>
              <w:t>11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2"/>
                <w:szCs w:val="24"/>
                <w:lang w:val="pt"/>
              </w:rPr>
              <w:t>11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2"/>
                <w:szCs w:val="24"/>
                <w:lang w:val="pt"/>
              </w:rPr>
              <w:t>43.199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MICRO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2"/>
                <w:szCs w:val="24"/>
                <w:lang w:val="pt"/>
              </w:rPr>
              <w:t>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2"/>
                <w:szCs w:val="24"/>
                <w:lang w:val="pt"/>
              </w:rPr>
              <w:t>11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2"/>
                <w:szCs w:val="24"/>
                <w:lang w:val="pt"/>
              </w:rPr>
              <w:t>69.346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MIDI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2"/>
                <w:szCs w:val="24"/>
                <w:lang w:val="pt"/>
              </w:rPr>
              <w:t>82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2"/>
                <w:szCs w:val="24"/>
                <w:lang w:val="pt"/>
              </w:rPr>
              <w:t>91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2"/>
                <w:szCs w:val="24"/>
                <w:lang w:val="pt"/>
              </w:rPr>
              <w:t>417.143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BÁSICO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2"/>
                <w:szCs w:val="24"/>
                <w:lang w:val="pt"/>
              </w:rPr>
              <w:t>22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2"/>
                <w:szCs w:val="24"/>
                <w:lang w:val="pt"/>
              </w:rPr>
              <w:t>24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color w:val="auto"/>
                <w:sz w:val="22"/>
                <w:szCs w:val="24"/>
                <w:lang w:val="pt"/>
              </w:rPr>
              <w:t>107.658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TOTAL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125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auto"/>
                <w:sz w:val="22"/>
                <w:szCs w:val="24"/>
                <w:lang w:val="pt"/>
              </w:rPr>
              <w:t>138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FFFFFF"/>
            <w:noWrap w:val="0"/>
            <w:vAlign w:val="bottom"/>
          </w:tcPr>
          <w:p>
            <w:pPr>
              <w:spacing w:beforeLines="0" w:afterLines="0"/>
              <w:rPr>
                <w:rFonts w:hint="default" w:ascii="Calibri" w:hAnsi="Calibri" w:eastAsia="Calibri"/>
                <w:color w:val="auto"/>
                <w:sz w:val="22"/>
                <w:szCs w:val="24"/>
                <w:lang w:val="pt"/>
              </w:rPr>
            </w:pPr>
            <w:r>
              <w:rPr>
                <w:rFonts w:hint="default" w:ascii="Times New Roman" w:hAnsi="Times New Roman" w:eastAsia="Times New Roman"/>
                <w:b/>
                <w:color w:val="000000"/>
                <w:sz w:val="22"/>
                <w:szCs w:val="24"/>
                <w:lang w:val="pt"/>
              </w:rPr>
              <w:t>637.346</w:t>
            </w:r>
          </w:p>
        </w:tc>
      </w:tr>
    </w:tbl>
    <w:p>
      <w:pPr>
        <w:spacing w:beforeLines="0" w:afterLines="0" w:line="276" w:lineRule="auto"/>
        <w:rPr>
          <w:rFonts w:hint="default" w:ascii="Calibri" w:hAnsi="Calibri" w:eastAsia="Calibri"/>
          <w:color w:val="auto"/>
          <w:sz w:val="22"/>
          <w:szCs w:val="24"/>
          <w:lang w:val="pt"/>
        </w:rPr>
      </w:pP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szCs w:val="24"/>
          <w:lang w:val="pt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</w:pPr>
      <w:r>
        <w:rPr>
          <w:rFonts w:hint="default" w:ascii="Times New Roman" w:hAnsi="Times New Roman" w:eastAsia="Times New Roman"/>
          <w:color w:val="auto"/>
          <w:sz w:val="22"/>
          <w:szCs w:val="24"/>
          <w:lang w:val="pt"/>
        </w:rPr>
        <w:t>No mais, a operação da rede futura fixada no item 06 do Termo de Referência, deve atender  todos os requisitos constantes no referido Termo, excetuando-se o item 04.</w:t>
      </w:r>
    </w:p>
    <w:p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headerReference r:id="rId5" w:type="default"/>
      <w:pgSz w:w="11906" w:h="16838"/>
      <w:pgMar w:top="1418" w:right="1418" w:bottom="1134" w:left="1418" w:header="709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swiss"/>
    <w:pitch w:val="default"/>
    <w:sig w:usb0="E0000287" w:usb1="40000013" w:usb2="00000000" w:usb3="00000000" w:csb0="2000019F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roman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/>
      <w:ind w:left="426" w:firstLine="0"/>
      <w:rPr>
        <w:rFonts w:ascii="Arial" w:hAnsi="Arial" w:cs="Arial"/>
        <w:sz w:val="16"/>
        <w:szCs w:val="18"/>
      </w:rPr>
    </w:pPr>
    <w:r>
      <w:drawing>
        <wp:anchor distT="0" distB="0" distL="114300" distR="115570" simplePos="0" relativeHeight="251659264" behindDoc="0" locked="0" layoutInCell="0" allowOverlap="1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0" b="0"/>
          <wp:wrapTight wrapText="bothSides">
            <wp:wrapPolygon>
              <wp:start x="-2930" y="0"/>
              <wp:lineTo x="-2930" y="18133"/>
              <wp:lineTo x="20558" y="18133"/>
              <wp:lineTo x="20558" y="0"/>
              <wp:lineTo x="-293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>
    <w:pPr>
      <w:spacing w:before="0" w:after="0"/>
      <w:ind w:left="426" w:firstLine="0"/>
      <w:rPr>
        <w:rFonts w:ascii="Arial" w:hAnsi="Arial" w:cs="Arial"/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5"/>
      <w:tabs>
        <w:tab w:val="clear" w:pos="0"/>
      </w:tabs>
      <w:ind w:left="426" w:firstLine="0"/>
    </w:pPr>
    <w:r>
      <w:rPr>
        <w:bCs/>
        <w:sz w:val="16"/>
        <w:szCs w:val="18"/>
      </w:rPr>
      <w:t>SECRETARIA DE GOVERNO</w:t>
    </w:r>
  </w:p>
  <w:p>
    <w:pPr>
      <w:spacing w:before="0" w:after="0"/>
      <w:ind w:left="426" w:firstLine="0"/>
      <w:rPr>
        <w:rFonts w:ascii="Arial" w:hAnsi="Arial" w:cs="Arial"/>
        <w:b/>
        <w:bCs/>
        <w:sz w:val="16"/>
        <w:szCs w:val="18"/>
        <w:lang w:eastAsia="ar-SA"/>
      </w:rPr>
    </w:pPr>
    <w:r>
      <mc:AlternateContent>
        <mc:Choice Requires="wps">
          <w:drawing>
            <wp:anchor distT="0" distB="12065" distL="0" distR="10160" simplePos="0" relativeHeight="251659264" behindDoc="1" locked="0" layoutInCell="0" allowOverlap="1">
              <wp:simplePos x="0" y="0"/>
              <wp:positionH relativeFrom="column">
                <wp:posOffset>-364490</wp:posOffset>
              </wp:positionH>
              <wp:positionV relativeFrom="paragraph">
                <wp:posOffset>187960</wp:posOffset>
              </wp:positionV>
              <wp:extent cx="6353810" cy="26035"/>
              <wp:effectExtent l="0" t="635" r="635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53640" cy="25920"/>
                      </a:xfrm>
                      <a:prstGeom prst="line">
                        <a:avLst/>
                      </a:prstGeom>
                      <a:ln w="648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28.7pt;margin-top:14.8pt;height:2.05pt;width:500.3pt;z-index:-251657216;mso-width-relative:page;mso-height-relative:page;" filled="f" stroked="f" coordsize="21600,21600" o:allowincell="f" o:gfxdata="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aTWrl2gAAAAkBAAAPAAAAAAAA&#10;AAEAIAAAACIAAABkcnMvZG93bnJldi54bWxQSwECFAAUAAAACACHTuJA3y7Pzp4BAABDAwAADgAA&#10;AAAAAAABACAAAAApAQAAZHJzL2Uyb0RvYy54bWxQSwUGAAAAAAYABgBZAQAAOQUAAAAA&#10;">
              <v:fill on="f" focussize="0,0"/>
              <v:stroke on="f" weight="0.510236220472441pt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b/>
        <w:bCs/>
        <w:sz w:val="16"/>
        <w:szCs w:val="18"/>
        <w:lang w:eastAsia="ar-SA"/>
      </w:rPr>
      <w:t>SUBSECRETARIA DE SERVIÇOS CONCEDIDOS</w:t>
    </w:r>
  </w:p>
  <w:p>
    <w:pPr>
      <w:spacing w:before="0" w:after="0"/>
      <w:ind w:left="426" w:firstLine="0"/>
      <w:rPr>
        <w:rFonts w:ascii="Arial" w:hAnsi="Arial" w:cs="Arial"/>
        <w:sz w:val="16"/>
        <w:szCs w:val="18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640482"/>
    <w:multiLevelType w:val="multilevel"/>
    <w:tmpl w:val="0E640482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0994238"/>
    <w:rsid w:val="699A1D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ahom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overflowPunct/>
      <w:bidi w:val="0"/>
      <w:spacing w:before="0" w:after="160" w:line="259" w:lineRule="auto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2">
    <w:name w:val="heading 1"/>
    <w:basedOn w:val="3"/>
    <w:next w:val="1"/>
    <w:qFormat/>
    <w:uiPriority w:val="9"/>
    <w:pPr>
      <w:widowControl w:val="0"/>
      <w:numPr>
        <w:ilvl w:val="0"/>
        <w:numId w:val="1"/>
      </w:numPr>
      <w:overflowPunct w:val="0"/>
      <w:spacing w:before="240" w:after="240"/>
      <w:outlineLvl w:val="0"/>
    </w:pPr>
    <w:rPr>
      <w:rFonts w:ascii="Palatino Linotype" w:hAnsi="Palatino Linotype" w:eastAsia="Palatino Linotype" w:cs="Palatino Linotype"/>
      <w:b/>
      <w:smallCaps/>
      <w:lang w:eastAsia="pt-BR"/>
    </w:rPr>
  </w:style>
  <w:style w:type="paragraph" w:styleId="5">
    <w:name w:val="heading 2"/>
    <w:basedOn w:val="1"/>
    <w:next w:val="1"/>
    <w:unhideWhenUsed/>
    <w:qFormat/>
    <w:uiPriority w:val="9"/>
    <w:pPr>
      <w:keepNext/>
      <w:tabs>
        <w:tab w:val="left" w:pos="0"/>
      </w:tabs>
      <w:suppressAutoHyphens/>
      <w:spacing w:before="0"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4"/>
    <w:qFormat/>
    <w:uiPriority w:val="1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character" w:styleId="8">
    <w:name w:val="annotation reference"/>
    <w:basedOn w:val="6"/>
    <w:semiHidden/>
    <w:unhideWhenUsed/>
    <w:qFormat/>
    <w:uiPriority w:val="99"/>
    <w:rPr>
      <w:sz w:val="16"/>
      <w:szCs w:val="16"/>
    </w:rPr>
  </w:style>
  <w:style w:type="paragraph" w:styleId="9">
    <w:name w:val="List"/>
    <w:basedOn w:val="4"/>
    <w:qFormat/>
    <w:uiPriority w:val="0"/>
    <w:rPr>
      <w:rFonts w:cs="Arial"/>
    </w:rPr>
  </w:style>
  <w:style w:type="paragraph" w:styleId="10">
    <w:name w:val="annotation text"/>
    <w:basedOn w:val="1"/>
    <w:link w:val="21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1">
    <w:name w:val="header"/>
    <w:basedOn w:val="1"/>
    <w:qFormat/>
    <w:uiPriority w:val="0"/>
    <w:pPr>
      <w:tabs>
        <w:tab w:val="center" w:pos="4252"/>
        <w:tab w:val="right" w:pos="8504"/>
      </w:tabs>
      <w:spacing w:before="0" w:after="0" w:line="240" w:lineRule="auto"/>
    </w:pPr>
  </w:style>
  <w:style w:type="paragraph" w:styleId="12">
    <w:name w:val="footer"/>
    <w:basedOn w:val="1"/>
    <w:qFormat/>
    <w:uiPriority w:val="0"/>
    <w:pPr>
      <w:tabs>
        <w:tab w:val="center" w:pos="4252"/>
        <w:tab w:val="right" w:pos="8504"/>
      </w:tabs>
      <w:spacing w:before="0" w:after="0" w:line="240" w:lineRule="auto"/>
    </w:pPr>
  </w:style>
  <w:style w:type="paragraph" w:styleId="13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Balloon Text"/>
    <w:basedOn w:val="1"/>
    <w:qFormat/>
    <w:uiPriority w:val="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Título 2 Char"/>
    <w:basedOn w:val="6"/>
    <w:qFormat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16">
    <w:name w:val="Cabeçalho Char"/>
    <w:basedOn w:val="6"/>
    <w:qFormat/>
    <w:uiPriority w:val="0"/>
  </w:style>
  <w:style w:type="character" w:customStyle="1" w:styleId="17">
    <w:name w:val="Rodapé Char"/>
    <w:basedOn w:val="6"/>
    <w:qFormat/>
    <w:uiPriority w:val="0"/>
  </w:style>
  <w:style w:type="character" w:customStyle="1" w:styleId="18">
    <w:name w:val="tex3"/>
    <w:basedOn w:val="6"/>
    <w:qFormat/>
    <w:uiPriority w:val="0"/>
  </w:style>
  <w:style w:type="character" w:customStyle="1" w:styleId="19">
    <w:name w:val="Texto de balão Char"/>
    <w:basedOn w:val="6"/>
    <w:qFormat/>
    <w:uiPriority w:val="0"/>
    <w:rPr>
      <w:rFonts w:ascii="Segoe UI" w:hAnsi="Segoe UI" w:cs="Segoe UI"/>
      <w:sz w:val="18"/>
      <w:szCs w:val="18"/>
    </w:rPr>
  </w:style>
  <w:style w:type="character" w:customStyle="1" w:styleId="20">
    <w:name w:val="Link da Internet"/>
    <w:qFormat/>
    <w:uiPriority w:val="0"/>
    <w:rPr>
      <w:color w:val="000080"/>
      <w:u w:val="single"/>
    </w:rPr>
  </w:style>
  <w:style w:type="character" w:customStyle="1" w:styleId="21">
    <w:name w:val="Texto de comentário Char"/>
    <w:basedOn w:val="6"/>
    <w:link w:val="10"/>
    <w:semiHidden/>
    <w:qFormat/>
    <w:uiPriority w:val="99"/>
    <w:rPr>
      <w:lang w:eastAsia="en-US"/>
    </w:rPr>
  </w:style>
  <w:style w:type="paragraph" w:customStyle="1" w:styleId="22">
    <w:name w:val="Título1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3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24">
    <w:name w:val="Cabeçalho e Rodapé"/>
    <w:basedOn w:val="1"/>
    <w:qFormat/>
    <w:uiPriority w:val="0"/>
  </w:style>
  <w:style w:type="paragraph" w:styleId="25">
    <w:name w:val="List Paragraph"/>
    <w:basedOn w:val="1"/>
    <w:qFormat/>
    <w:uiPriority w:val="0"/>
    <w:pPr>
      <w:spacing w:before="0" w:after="160"/>
      <w:ind w:left="720" w:firstLine="0"/>
      <w:contextualSpacing/>
    </w:pPr>
  </w:style>
  <w:style w:type="paragraph" w:customStyle="1" w:styleId="26">
    <w:name w:val="Conteúdo do quadro"/>
    <w:basedOn w:val="1"/>
    <w:qFormat/>
    <w:uiPriority w:val="0"/>
  </w:style>
  <w:style w:type="paragraph" w:customStyle="1" w:styleId="27">
    <w:name w:val="Conteúdo da tabela"/>
    <w:basedOn w:val="1"/>
    <w:qFormat/>
    <w:uiPriority w:val="0"/>
    <w:pPr>
      <w:suppressLineNumbers/>
    </w:pPr>
  </w:style>
  <w:style w:type="paragraph" w:customStyle="1" w:styleId="28">
    <w:name w:val="Título de tabela"/>
    <w:basedOn w:val="27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21B5E2-A3E6-42B7-AE73-DA87DECE0D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1589</Words>
  <Characters>9330</Characters>
  <Paragraphs>67</Paragraphs>
  <TotalTime>2</TotalTime>
  <ScaleCrop>false</ScaleCrop>
  <LinksUpToDate>false</LinksUpToDate>
  <CharactersWithSpaces>10878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2023-09-30T01:36:00Z</dcterms:created>
  <dc:creator>Alexandre Ricarte</dc:creator>
  <cp:lastModifiedBy>danny.dias</cp:lastModifiedBy>
  <cp:lastPrinted>2023-11-10T18:58:00Z</cp:lastPrinted>
  <dcterms:modified xsi:type="dcterms:W3CDTF">2023-11-10T19:02:05Z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1046-12.2.0.13306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ICV">
    <vt:lpwstr>4AE45F9BA01B452CB61B2B8F991AAE7D_13</vt:lpwstr>
  </property>
</Properties>
</file>