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3.png" ContentType="image/png"/>
  <Override PartName="/word/media/image2.wmf" ContentType="image/x-wmf"/>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center"/>
        <w:rPr/>
      </w:pPr>
      <w:r>
        <w:rPr>
          <w:b/>
          <w:color w:val="000000"/>
          <w:u w:val="single"/>
        </w:rPr>
        <w:t>TERMO DE REFERÊNCIA</w:t>
      </w:r>
    </w:p>
    <w:p>
      <w:pPr>
        <w:pStyle w:val="Normal"/>
        <w:spacing w:lineRule="auto" w:line="480"/>
        <w:jc w:val="both"/>
        <w:rPr>
          <w:color w:val="000000"/>
        </w:rPr>
      </w:pPr>
      <w:r>
        <w:rPr>
          <w:color w:val="000000"/>
        </w:rPr>
      </w:r>
    </w:p>
    <w:p>
      <w:pPr>
        <w:pStyle w:val="ListParagraph"/>
        <w:numPr>
          <w:ilvl w:val="0"/>
          <w:numId w:val="1"/>
        </w:numPr>
        <w:spacing w:lineRule="auto" w:line="480"/>
        <w:jc w:val="both"/>
        <w:rPr>
          <w:color w:val="000000"/>
          <w:u w:val="single"/>
        </w:rPr>
      </w:pPr>
      <w:r>
        <w:rPr>
          <w:color w:val="000000"/>
          <w:u w:val="single"/>
        </w:rPr>
        <w:t xml:space="preserve">DO OBJETO </w:t>
      </w:r>
    </w:p>
    <w:p>
      <w:pPr>
        <w:pStyle w:val="ListParagraph"/>
        <w:numPr>
          <w:ilvl w:val="1"/>
          <w:numId w:val="2"/>
        </w:numPr>
        <w:spacing w:lineRule="auto" w:line="480"/>
        <w:jc w:val="both"/>
        <w:rPr/>
      </w:pPr>
      <w:r>
        <w:rPr>
          <w:color w:val="000000"/>
        </w:rPr>
        <w:t xml:space="preserve"> </w:t>
      </w:r>
      <w:r>
        <w:rPr>
          <w:color w:val="000000"/>
        </w:rPr>
        <w:t>Aquisição, sob demanda, de MÓVEIS PARA ESCRITÓRIO, para atender às necessidades da ESTRATÉGIA DE SAÚDE DA FAMÍLIA, conforme condições, especificações, quantidades, exigências e estimativas, estabelecidas nos autos, bem como nas demais cláusulas deste instrumento.</w:t>
      </w:r>
    </w:p>
    <w:p>
      <w:pPr>
        <w:pStyle w:val="ListParagraph"/>
        <w:numPr>
          <w:ilvl w:val="1"/>
          <w:numId w:val="2"/>
        </w:numPr>
        <w:spacing w:lineRule="auto" w:line="480"/>
        <w:jc w:val="both"/>
        <w:rPr>
          <w:color w:val="000000"/>
        </w:rPr>
      </w:pPr>
      <w:r>
        <w:rPr>
          <w:color w:val="000000"/>
        </w:rPr>
        <w:t xml:space="preserve"> </w:t>
      </w:r>
      <w:r>
        <w:rPr>
          <w:b/>
          <w:color w:val="000000"/>
        </w:rPr>
        <w:t>Requisitante:</w:t>
      </w:r>
      <w:r>
        <w:rPr>
          <w:color w:val="000000"/>
        </w:rPr>
        <w:t xml:space="preserve"> Estratégia de Saúde da Família.</w:t>
      </w:r>
    </w:p>
    <w:p>
      <w:pPr>
        <w:pStyle w:val="Normal"/>
        <w:spacing w:lineRule="auto" w:line="480"/>
        <w:ind w:firstLine="708"/>
        <w:jc w:val="both"/>
        <w:rPr/>
      </w:pPr>
      <w:r>
        <w:rPr>
          <w:color w:val="000000"/>
        </w:rPr>
        <w:t xml:space="preserve">1.3. </w:t>
      </w:r>
      <w:r>
        <w:rPr>
          <w:b/>
          <w:color w:val="000000"/>
        </w:rPr>
        <w:t>Fundamentação  Legal</w:t>
      </w:r>
      <w:r>
        <w:rPr>
          <w:color w:val="000000"/>
        </w:rPr>
        <w:t xml:space="preserve">: </w:t>
      </w:r>
      <w:bookmarkStart w:id="0" w:name="__DdeLink__584_3249794290"/>
      <w:r>
        <w:rPr>
          <w:rFonts w:eastAsia="Century;Times New Roman" w:cs="Times New Roman"/>
          <w:b w:val="false"/>
          <w:bCs w:val="false"/>
          <w:color w:val="000000"/>
          <w:sz w:val="24"/>
          <w:szCs w:val="24"/>
        </w:rPr>
        <w:t>8.666/1993 – artigo 24, inciso II.</w:t>
      </w:r>
      <w:bookmarkEnd w:id="0"/>
    </w:p>
    <w:p>
      <w:pPr>
        <w:pStyle w:val="Normal"/>
        <w:spacing w:lineRule="auto" w:line="480"/>
        <w:ind w:firstLine="708"/>
        <w:jc w:val="both"/>
        <w:rPr>
          <w:color w:val="000000"/>
        </w:rPr>
      </w:pPr>
      <w:r>
        <w:rPr>
          <w:color w:val="000000"/>
        </w:rPr>
      </w:r>
    </w:p>
    <w:p>
      <w:pPr>
        <w:pStyle w:val="ListParagraph"/>
        <w:numPr>
          <w:ilvl w:val="0"/>
          <w:numId w:val="1"/>
        </w:numPr>
        <w:spacing w:lineRule="auto" w:line="480"/>
        <w:jc w:val="both"/>
        <w:rPr>
          <w:color w:val="000000"/>
        </w:rPr>
      </w:pPr>
      <w:r>
        <w:rPr>
          <w:color w:val="000000"/>
          <w:u w:val="single"/>
        </w:rPr>
        <w:t>DO QUANTITATIVO</w:t>
      </w:r>
    </w:p>
    <w:p>
      <w:pPr>
        <w:pStyle w:val="ListParagraph"/>
        <w:spacing w:lineRule="auto" w:line="480"/>
        <w:jc w:val="both"/>
        <w:rPr>
          <w:color w:val="000000"/>
        </w:rPr>
      </w:pPr>
      <w:r>
        <w:rPr>
          <w:color w:val="000000"/>
        </w:rPr>
        <w:t>2.1. A tabela a seguir descreve detalhadamente o objeto deste Termo de Referência:</w:t>
      </w:r>
    </w:p>
    <w:tbl>
      <w:tblPr>
        <w:tblW w:w="10208" w:type="dxa"/>
        <w:jc w:val="left"/>
        <w:tblInd w:w="60" w:type="dxa"/>
        <w:tblBorders>
          <w:top w:val="outset" w:sz="2" w:space="0" w:color="000000"/>
          <w:left w:val="outset" w:sz="2" w:space="0" w:color="000000"/>
          <w:bottom w:val="outset" w:sz="2" w:space="0" w:color="000000"/>
          <w:insideH w:val="outset" w:sz="2" w:space="0" w:color="000000"/>
        </w:tblBorders>
        <w:tblCellMar>
          <w:top w:w="55" w:type="dxa"/>
          <w:left w:w="55" w:type="dxa"/>
          <w:bottom w:w="55" w:type="dxa"/>
          <w:right w:w="55" w:type="dxa"/>
        </w:tblCellMar>
        <w:tblLook w:val="04a0"/>
      </w:tblPr>
      <w:tblGrid>
        <w:gridCol w:w="795"/>
        <w:gridCol w:w="1681"/>
        <w:gridCol w:w="5432"/>
        <w:gridCol w:w="1147"/>
        <w:gridCol w:w="1153"/>
      </w:tblGrid>
      <w:tr>
        <w:trPr>
          <w:trHeight w:val="570" w:hRule="atLeast"/>
        </w:trPr>
        <w:tc>
          <w:tcPr>
            <w:tcW w:w="795"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ITEM</w:t>
            </w:r>
          </w:p>
        </w:tc>
        <w:tc>
          <w:tcPr>
            <w:tcW w:w="1681"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pPr>
            <w:r>
              <w:rPr/>
              <w:t>Cód. Comprasnet</w:t>
            </w:r>
          </w:p>
        </w:tc>
        <w:tc>
          <w:tcPr>
            <w:tcW w:w="5432"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DESCRIÇÃO DO MATERIAL</w:t>
            </w:r>
          </w:p>
        </w:tc>
        <w:tc>
          <w:tcPr>
            <w:tcW w:w="1147"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UNIDADE</w:t>
            </w:r>
          </w:p>
        </w:tc>
        <w:tc>
          <w:tcPr>
            <w:tcW w:w="1153" w:type="dxa"/>
            <w:tcBorders>
              <w:top w:val="outset" w:sz="2" w:space="0" w:color="000000"/>
              <w:left w:val="outset" w:sz="2" w:space="0" w:color="000000"/>
              <w:bottom w:val="outset" w:sz="2" w:space="0" w:color="000000"/>
              <w:right w:val="outset" w:sz="2" w:space="0" w:color="000000"/>
              <w:insideH w:val="outset" w:sz="2" w:space="0" w:color="000000"/>
              <w:insideV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QUANT.</w:t>
            </w:r>
          </w:p>
        </w:tc>
      </w:tr>
      <w:tr>
        <w:trPr>
          <w:trHeight w:val="641" w:hRule="atLeast"/>
        </w:trPr>
        <w:tc>
          <w:tcPr>
            <w:tcW w:w="795"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1</w:t>
            </w:r>
          </w:p>
        </w:tc>
        <w:tc>
          <w:tcPr>
            <w:tcW w:w="1681"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val="false"/>
                <w:b w:val="false"/>
                <w:bCs w:val="false"/>
                <w:color w:val="000000"/>
                <w:sz w:val="24"/>
                <w:szCs w:val="24"/>
              </w:rPr>
            </w:pPr>
            <w:r>
              <w:rPr>
                <w:rFonts w:ascii="Calibri" w:hAnsi="Calibri"/>
                <w:b w:val="false"/>
                <w:bCs w:val="false"/>
                <w:i w:val="false"/>
                <w:caps w:val="false"/>
                <w:smallCaps w:val="false"/>
                <w:color w:val="000000"/>
                <w:spacing w:val="0"/>
                <w:sz w:val="24"/>
                <w:szCs w:val="24"/>
              </w:rPr>
              <w:t>468425</w:t>
            </w:r>
            <w:r>
              <w:rPr>
                <w:rFonts w:ascii="Calibri" w:hAnsi="Calibri"/>
                <w:b w:val="false"/>
                <w:bCs w:val="false"/>
                <w:color w:val="000000"/>
                <w:sz w:val="24"/>
                <w:szCs w:val="24"/>
              </w:rPr>
              <w:t xml:space="preserve"> </w:t>
            </w:r>
          </w:p>
        </w:tc>
        <w:tc>
          <w:tcPr>
            <w:tcW w:w="5432" w:type="dxa"/>
            <w:tcBorders>
              <w:top w:val="outset" w:sz="2" w:space="0" w:color="000000"/>
              <w:left w:val="outset" w:sz="2" w:space="0" w:color="000000"/>
              <w:bottom w:val="outset" w:sz="2" w:space="0" w:color="000000"/>
              <w:insideH w:val="outset" w:sz="2" w:space="0" w:color="000000"/>
            </w:tcBorders>
            <w:shd w:fill="auto" w:val="clear"/>
          </w:tcPr>
          <w:p>
            <w:pPr>
              <w:pStyle w:val="Normal"/>
              <w:rPr>
                <w:rFonts w:ascii="Calibri" w:hAnsi="Calibri"/>
                <w:b/>
                <w:b/>
                <w:bCs/>
                <w:color w:val="000000"/>
                <w:sz w:val="20"/>
                <w:szCs w:val="20"/>
              </w:rPr>
            </w:pPr>
            <w:r>
              <w:rPr>
                <w:rFonts w:ascii="Calibri" w:hAnsi="Calibri"/>
                <w:b/>
                <w:bCs/>
                <w:color w:val="000000"/>
                <w:sz w:val="20"/>
                <w:szCs w:val="20"/>
              </w:rPr>
              <w:t>MESA DE ESCRITÓRIO - base de aço/ferro pintado; divisões  02 gavetas; material de confecção madeira/mdp/mdf/similar; composição simples</w:t>
            </w:r>
          </w:p>
        </w:tc>
        <w:tc>
          <w:tcPr>
            <w:tcW w:w="1147"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w:t>
            </w:r>
          </w:p>
        </w:tc>
        <w:tc>
          <w:tcPr>
            <w:tcW w:w="1153" w:type="dxa"/>
            <w:tcBorders>
              <w:top w:val="outset" w:sz="2" w:space="0" w:color="000000"/>
              <w:left w:val="outset" w:sz="2" w:space="0" w:color="000000"/>
              <w:bottom w:val="outset" w:sz="2" w:space="0" w:color="000000"/>
              <w:right w:val="outset" w:sz="2" w:space="0" w:color="000000"/>
              <w:insideH w:val="outset" w:sz="2" w:space="0" w:color="000000"/>
              <w:insideV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4</w:t>
            </w:r>
          </w:p>
        </w:tc>
      </w:tr>
      <w:tr>
        <w:trPr>
          <w:trHeight w:val="692" w:hRule="atLeast"/>
        </w:trPr>
        <w:tc>
          <w:tcPr>
            <w:tcW w:w="795"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2</w:t>
            </w:r>
          </w:p>
        </w:tc>
        <w:tc>
          <w:tcPr>
            <w:tcW w:w="1681"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rPr>
            </w:pPr>
            <w:r>
              <w:rPr>
                <w:rFonts w:ascii="Calibri" w:hAnsi="Calibri"/>
              </w:rPr>
              <w:t>468761</w:t>
            </w:r>
          </w:p>
        </w:tc>
        <w:tc>
          <w:tcPr>
            <w:tcW w:w="5432" w:type="dxa"/>
            <w:tcBorders>
              <w:top w:val="outset" w:sz="2" w:space="0" w:color="000000"/>
              <w:left w:val="outset" w:sz="2" w:space="0" w:color="000000"/>
              <w:bottom w:val="outset" w:sz="2" w:space="0" w:color="000000"/>
              <w:insideH w:val="outset" w:sz="2" w:space="0" w:color="000000"/>
            </w:tcBorders>
            <w:shd w:color="000000" w:fill="FFFFFF" w:val="clear"/>
          </w:tcPr>
          <w:p>
            <w:pPr>
              <w:pStyle w:val="Normal"/>
              <w:rPr/>
            </w:pPr>
            <w:r>
              <w:rPr>
                <w:rFonts w:ascii="Calibri" w:hAnsi="Calibri"/>
                <w:b/>
                <w:bCs/>
                <w:color w:val="000000"/>
                <w:sz w:val="20"/>
                <w:szCs w:val="20"/>
              </w:rPr>
              <w:t>CADEIRA-Material de confecção: aço/ferro pintado; Não possui rodízios; Não possui braços; Não possui regulagem de altura , assento/encosto polipropileno.</w:t>
            </w:r>
          </w:p>
        </w:tc>
        <w:tc>
          <w:tcPr>
            <w:tcW w:w="1147"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w:t>
            </w:r>
          </w:p>
        </w:tc>
        <w:tc>
          <w:tcPr>
            <w:tcW w:w="1153" w:type="dxa"/>
            <w:tcBorders>
              <w:top w:val="outset" w:sz="2" w:space="0" w:color="000000"/>
              <w:left w:val="outset" w:sz="2" w:space="0" w:color="000000"/>
              <w:bottom w:val="outset" w:sz="2" w:space="0" w:color="000000"/>
              <w:right w:val="outset" w:sz="2" w:space="0" w:color="000000"/>
              <w:insideH w:val="outset" w:sz="2" w:space="0" w:color="000000"/>
              <w:insideV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14</w:t>
            </w:r>
          </w:p>
        </w:tc>
      </w:tr>
      <w:tr>
        <w:trPr>
          <w:trHeight w:val="959" w:hRule="atLeast"/>
        </w:trPr>
        <w:tc>
          <w:tcPr>
            <w:tcW w:w="795"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3</w:t>
            </w:r>
          </w:p>
        </w:tc>
        <w:tc>
          <w:tcPr>
            <w:tcW w:w="1681"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rPr>
            </w:pPr>
            <w:r>
              <w:rPr>
                <w:rFonts w:ascii="Calibri" w:hAnsi="Calibri"/>
              </w:rPr>
              <w:t>364039</w:t>
            </w:r>
          </w:p>
        </w:tc>
        <w:tc>
          <w:tcPr>
            <w:tcW w:w="5432" w:type="dxa"/>
            <w:tcBorders>
              <w:top w:val="outset" w:sz="2" w:space="0" w:color="000000"/>
              <w:left w:val="outset" w:sz="2" w:space="0" w:color="000000"/>
              <w:bottom w:val="outset" w:sz="2" w:space="0" w:color="000000"/>
              <w:insideH w:val="outset" w:sz="2" w:space="0" w:color="000000"/>
            </w:tcBorders>
            <w:shd w:fill="auto" w:val="clear"/>
          </w:tcPr>
          <w:p>
            <w:pPr>
              <w:pStyle w:val="Normal"/>
              <w:spacing w:before="0" w:after="240"/>
              <w:rPr>
                <w:rFonts w:ascii="Calibri" w:hAnsi="Calibri"/>
                <w:b/>
                <w:b/>
                <w:bCs/>
                <w:color w:val="000000"/>
                <w:sz w:val="20"/>
                <w:szCs w:val="20"/>
              </w:rPr>
            </w:pPr>
            <w:r>
              <w:rPr>
                <w:rFonts w:ascii="Calibri" w:hAnsi="Calibri"/>
                <w:b/>
                <w:bCs/>
                <w:color w:val="000000"/>
                <w:sz w:val="18"/>
                <w:szCs w:val="18"/>
              </w:rPr>
              <w:t xml:space="preserve">LONGARINA C/03 LUGARES em polipropileno </w:t>
              <w:br/>
              <w:t>Especificações: Assento e encosto injetados em polipropileno de alta resistência, em cores translúcidas, com furos para ventilação corporal do usuário. Estruturas em tubo de aço com acabamento cromado. Estruturas metálicas revestidas com pintura eletrostática epóxi-pó texturizada, de alta resistência com acabamento cromado, o revestidas por capa protetora de polipropileno. Suporte do Encosto em tubos paralelos e eqüidistantes oblongos de 16x30mm de parede 1,20mm. Acabamento com insertos plásticos de polipropileno injetado. Cor preta.Medidas aproximadas de uso: Altura mínima do assento: 490 mm, Altura máxima do assento: 490 mm, Altura mínima do encosto: 810 mm, Altura máxima do encosto: 810 mm</w:t>
            </w:r>
          </w:p>
        </w:tc>
        <w:tc>
          <w:tcPr>
            <w:tcW w:w="1147"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w:t>
            </w:r>
          </w:p>
        </w:tc>
        <w:tc>
          <w:tcPr>
            <w:tcW w:w="1153" w:type="dxa"/>
            <w:tcBorders>
              <w:top w:val="outset" w:sz="2" w:space="0" w:color="000000"/>
              <w:left w:val="outset" w:sz="2" w:space="0" w:color="000000"/>
              <w:bottom w:val="outset" w:sz="2" w:space="0" w:color="000000"/>
              <w:right w:val="outset" w:sz="2" w:space="0" w:color="000000"/>
              <w:insideH w:val="outset" w:sz="2" w:space="0" w:color="000000"/>
              <w:insideV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8</w:t>
            </w:r>
          </w:p>
        </w:tc>
      </w:tr>
      <w:tr>
        <w:trPr>
          <w:trHeight w:val="870" w:hRule="atLeast"/>
        </w:trPr>
        <w:tc>
          <w:tcPr>
            <w:tcW w:w="795"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4</w:t>
            </w:r>
          </w:p>
        </w:tc>
        <w:tc>
          <w:tcPr>
            <w:tcW w:w="1681"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rPr>
            </w:pPr>
            <w:r>
              <w:rPr>
                <w:rFonts w:ascii="Calibri" w:hAnsi="Calibri"/>
              </w:rPr>
              <w:t>288589</w:t>
            </w:r>
          </w:p>
        </w:tc>
        <w:tc>
          <w:tcPr>
            <w:tcW w:w="5432" w:type="dxa"/>
            <w:tcBorders>
              <w:top w:val="outset" w:sz="2" w:space="0" w:color="000000"/>
              <w:left w:val="outset" w:sz="2" w:space="0" w:color="000000"/>
              <w:bottom w:val="outset" w:sz="2" w:space="0" w:color="000000"/>
              <w:insideH w:val="outset" w:sz="2" w:space="0" w:color="000000"/>
            </w:tcBorders>
            <w:shd w:fill="auto" w:val="clear"/>
          </w:tcPr>
          <w:p>
            <w:pPr>
              <w:pStyle w:val="Normal"/>
              <w:rPr>
                <w:rFonts w:ascii="Calibri" w:hAnsi="Calibri"/>
                <w:b/>
                <w:b/>
                <w:bCs/>
                <w:color w:val="000000"/>
                <w:sz w:val="20"/>
                <w:szCs w:val="20"/>
              </w:rPr>
            </w:pPr>
            <w:r>
              <w:rPr>
                <w:rFonts w:ascii="Calibri" w:hAnsi="Calibri"/>
                <w:b/>
                <w:bCs/>
                <w:color w:val="000000"/>
                <w:sz w:val="20"/>
                <w:szCs w:val="20"/>
              </w:rPr>
              <w:t>MESA PARA IMPRESSORA - estrutura de aço/ferro pintado; dimensões mínimas de 80 X 60 X 70 cm, tampo de madeira/MDP /MDF/similar,  na cor cinza.</w:t>
            </w:r>
          </w:p>
        </w:tc>
        <w:tc>
          <w:tcPr>
            <w:tcW w:w="1147"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w:t>
            </w:r>
          </w:p>
        </w:tc>
        <w:tc>
          <w:tcPr>
            <w:tcW w:w="1153" w:type="dxa"/>
            <w:tcBorders>
              <w:top w:val="outset" w:sz="2" w:space="0" w:color="000000"/>
              <w:left w:val="outset" w:sz="2" w:space="0" w:color="000000"/>
              <w:bottom w:val="outset" w:sz="2" w:space="0" w:color="000000"/>
              <w:right w:val="outset" w:sz="2" w:space="0" w:color="000000"/>
              <w:insideH w:val="outset" w:sz="2" w:space="0" w:color="000000"/>
              <w:insideV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1</w:t>
            </w:r>
          </w:p>
        </w:tc>
      </w:tr>
      <w:tr>
        <w:trPr>
          <w:trHeight w:val="1018" w:hRule="atLeast"/>
        </w:trPr>
        <w:tc>
          <w:tcPr>
            <w:tcW w:w="795"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5</w:t>
            </w:r>
          </w:p>
        </w:tc>
        <w:tc>
          <w:tcPr>
            <w:tcW w:w="1681"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rPr>
            </w:pPr>
            <w:r>
              <w:rPr>
                <w:rFonts w:ascii="Calibri" w:hAnsi="Calibri"/>
              </w:rPr>
              <w:t>309427</w:t>
            </w:r>
          </w:p>
        </w:tc>
        <w:tc>
          <w:tcPr>
            <w:tcW w:w="5432" w:type="dxa"/>
            <w:tcBorders>
              <w:top w:val="outset" w:sz="2" w:space="0" w:color="000000"/>
              <w:left w:val="outset" w:sz="2" w:space="0" w:color="000000"/>
              <w:bottom w:val="outset" w:sz="2" w:space="0" w:color="000000"/>
              <w:insideH w:val="outset" w:sz="2" w:space="0" w:color="000000"/>
            </w:tcBorders>
            <w:shd w:fill="auto" w:val="clear"/>
          </w:tcPr>
          <w:p>
            <w:pPr>
              <w:pStyle w:val="Normal"/>
              <w:rPr>
                <w:rFonts w:ascii="Calibri" w:hAnsi="Calibri"/>
                <w:b/>
                <w:b/>
                <w:bCs/>
                <w:color w:val="000000"/>
                <w:sz w:val="20"/>
                <w:szCs w:val="20"/>
              </w:rPr>
            </w:pPr>
            <w:r>
              <w:rPr>
                <w:rFonts w:ascii="Calibri" w:hAnsi="Calibri"/>
                <w:b/>
                <w:bCs/>
                <w:color w:val="000000"/>
                <w:sz w:val="20"/>
                <w:szCs w:val="20"/>
              </w:rPr>
              <w:t>ARQUIVO - material de confecção:Aço - Arquivo com 04 gavetas para pasta suspensa - deslizamento de gaveta trilho telescópico. Na cor cinza.</w:t>
            </w:r>
          </w:p>
        </w:tc>
        <w:tc>
          <w:tcPr>
            <w:tcW w:w="1147"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w:t>
            </w:r>
          </w:p>
        </w:tc>
        <w:tc>
          <w:tcPr>
            <w:tcW w:w="1153" w:type="dxa"/>
            <w:tcBorders>
              <w:top w:val="outset" w:sz="2" w:space="0" w:color="000000"/>
              <w:left w:val="outset" w:sz="2" w:space="0" w:color="000000"/>
              <w:bottom w:val="outset" w:sz="2" w:space="0" w:color="000000"/>
              <w:right w:val="outset" w:sz="2" w:space="0" w:color="000000"/>
              <w:insideH w:val="outset" w:sz="2" w:space="0" w:color="000000"/>
              <w:insideV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1</w:t>
            </w:r>
          </w:p>
        </w:tc>
      </w:tr>
      <w:tr>
        <w:trPr>
          <w:trHeight w:val="562" w:hRule="atLeast"/>
        </w:trPr>
        <w:tc>
          <w:tcPr>
            <w:tcW w:w="795"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6</w:t>
            </w:r>
          </w:p>
        </w:tc>
        <w:tc>
          <w:tcPr>
            <w:tcW w:w="1681"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rPr>
            </w:pPr>
            <w:r>
              <w:rPr>
                <w:rFonts w:ascii="Calibri" w:hAnsi="Calibri"/>
              </w:rPr>
              <w:t>460817</w:t>
            </w:r>
          </w:p>
        </w:tc>
        <w:tc>
          <w:tcPr>
            <w:tcW w:w="5432" w:type="dxa"/>
            <w:tcBorders>
              <w:top w:val="outset" w:sz="2" w:space="0" w:color="000000"/>
              <w:left w:val="outset" w:sz="2" w:space="0" w:color="000000"/>
              <w:bottom w:val="outset" w:sz="2" w:space="0" w:color="000000"/>
              <w:insideH w:val="outset" w:sz="2" w:space="0" w:color="000000"/>
            </w:tcBorders>
            <w:shd w:fill="auto" w:val="clear"/>
          </w:tcPr>
          <w:p>
            <w:pPr>
              <w:pStyle w:val="Normal"/>
              <w:rPr>
                <w:rFonts w:ascii="Calibri" w:hAnsi="Calibri"/>
                <w:b/>
                <w:b/>
                <w:bCs/>
                <w:color w:val="000000"/>
                <w:sz w:val="20"/>
                <w:szCs w:val="20"/>
              </w:rPr>
            </w:pPr>
            <w:r>
              <w:rPr>
                <w:rFonts w:ascii="Calibri" w:hAnsi="Calibri"/>
                <w:b/>
                <w:bCs/>
                <w:color w:val="000000"/>
                <w:sz w:val="20"/>
                <w:szCs w:val="20"/>
              </w:rPr>
              <w:t>ARMÁRIO - Dimensões Minimas de 1,80 x 0,70 M até 2,10 x 1,10M ( A  X L) / Material de confecção Aço com 02 portas com chave; Pés plástico ,04 Bandejas com ajuste de espaço interno. Capacidade por preteleira 50 Kg. Cinza</w:t>
            </w:r>
          </w:p>
        </w:tc>
        <w:tc>
          <w:tcPr>
            <w:tcW w:w="1147"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w:t>
            </w:r>
          </w:p>
        </w:tc>
        <w:tc>
          <w:tcPr>
            <w:tcW w:w="1153" w:type="dxa"/>
            <w:tcBorders>
              <w:top w:val="outset" w:sz="2" w:space="0" w:color="000000"/>
              <w:left w:val="outset" w:sz="2" w:space="0" w:color="000000"/>
              <w:bottom w:val="outset" w:sz="2" w:space="0" w:color="000000"/>
              <w:right w:val="outset" w:sz="2" w:space="0" w:color="000000"/>
              <w:insideH w:val="outset" w:sz="2" w:space="0" w:color="000000"/>
              <w:insideV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1</w:t>
            </w:r>
          </w:p>
        </w:tc>
      </w:tr>
      <w:tr>
        <w:trPr>
          <w:trHeight w:val="562" w:hRule="atLeast"/>
        </w:trPr>
        <w:tc>
          <w:tcPr>
            <w:tcW w:w="795"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Arial" w:hAnsi="Arial" w:cs="Arial"/>
                <w:bCs/>
                <w:sz w:val="18"/>
                <w:szCs w:val="18"/>
              </w:rPr>
            </w:pPr>
            <w:r>
              <w:rPr>
                <w:rFonts w:cs="Arial" w:ascii="Arial" w:hAnsi="Arial"/>
                <w:bCs/>
                <w:sz w:val="18"/>
                <w:szCs w:val="18"/>
              </w:rPr>
              <w:t>7</w:t>
            </w:r>
          </w:p>
        </w:tc>
        <w:tc>
          <w:tcPr>
            <w:tcW w:w="1681"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rPr>
            </w:pPr>
            <w:r>
              <w:rPr>
                <w:rFonts w:ascii="Calibri" w:hAnsi="Calibri"/>
              </w:rPr>
              <w:t>253935</w:t>
            </w:r>
          </w:p>
        </w:tc>
        <w:tc>
          <w:tcPr>
            <w:tcW w:w="5432" w:type="dxa"/>
            <w:tcBorders>
              <w:top w:val="outset" w:sz="2" w:space="0" w:color="000000"/>
              <w:left w:val="outset" w:sz="2" w:space="0" w:color="000000"/>
              <w:bottom w:val="outset" w:sz="2" w:space="0" w:color="000000"/>
              <w:insideH w:val="outset" w:sz="2" w:space="0" w:color="000000"/>
            </w:tcBorders>
            <w:shd w:fill="auto" w:val="clear"/>
          </w:tcPr>
          <w:p>
            <w:pPr>
              <w:pStyle w:val="Normal"/>
              <w:rPr>
                <w:rFonts w:ascii="Calibri" w:hAnsi="Calibri"/>
                <w:b/>
                <w:b/>
                <w:bCs/>
                <w:color w:val="000000"/>
                <w:sz w:val="20"/>
                <w:szCs w:val="20"/>
              </w:rPr>
            </w:pPr>
            <w:r>
              <w:rPr>
                <w:rFonts w:ascii="Calibri" w:hAnsi="Calibri"/>
                <w:b/>
                <w:bCs/>
                <w:color w:val="000000"/>
                <w:sz w:val="20"/>
                <w:szCs w:val="20"/>
              </w:rPr>
              <w:t>MESA PARA COMPUTADOR - base de madeira/mdp/mdf/similar; material de confecção madeira/mdp/mdf/similar; divisões de 03 a 04 gavetas, possui suporte para CPU, possui suporte para impressora, possui suporte para teclado. Na cor cinza</w:t>
            </w:r>
          </w:p>
        </w:tc>
        <w:tc>
          <w:tcPr>
            <w:tcW w:w="1147" w:type="dxa"/>
            <w:tcBorders>
              <w:top w:val="outset" w:sz="2" w:space="0" w:color="000000"/>
              <w:left w:val="outset" w:sz="2" w:space="0" w:color="000000"/>
              <w:bottom w:val="outset" w:sz="2" w:space="0" w:color="000000"/>
              <w:insideH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UNID.</w:t>
            </w:r>
          </w:p>
        </w:tc>
        <w:tc>
          <w:tcPr>
            <w:tcW w:w="1153" w:type="dxa"/>
            <w:tcBorders>
              <w:top w:val="outset" w:sz="2" w:space="0" w:color="000000"/>
              <w:left w:val="outset" w:sz="2" w:space="0" w:color="000000"/>
              <w:bottom w:val="outset" w:sz="2" w:space="0" w:color="000000"/>
              <w:right w:val="outset" w:sz="2" w:space="0" w:color="000000"/>
              <w:insideH w:val="outset" w:sz="2" w:space="0" w:color="000000"/>
              <w:insideV w:val="outset" w:sz="2" w:space="0" w:color="000000"/>
            </w:tcBorders>
            <w:shd w:fill="auto" w:val="clear"/>
            <w:vAlign w:val="center"/>
          </w:tcPr>
          <w:p>
            <w:pPr>
              <w:pStyle w:val="Normal"/>
              <w:jc w:val="center"/>
              <w:rPr>
                <w:rFonts w:ascii="Calibri" w:hAnsi="Calibri"/>
                <w:b/>
                <w:b/>
                <w:bCs/>
                <w:color w:val="000000"/>
                <w:sz w:val="22"/>
                <w:szCs w:val="22"/>
              </w:rPr>
            </w:pPr>
            <w:r>
              <w:rPr>
                <w:rFonts w:ascii="Calibri" w:hAnsi="Calibri"/>
                <w:b/>
                <w:bCs/>
                <w:color w:val="000000"/>
                <w:sz w:val="22"/>
                <w:szCs w:val="22"/>
              </w:rPr>
              <w:t>1</w:t>
            </w:r>
          </w:p>
        </w:tc>
      </w:tr>
    </w:tbl>
    <w:p>
      <w:pPr>
        <w:pStyle w:val="Normal"/>
        <w:spacing w:lineRule="auto" w:line="480"/>
        <w:jc w:val="both"/>
        <w:rPr>
          <w:color w:val="000000"/>
        </w:rPr>
      </w:pPr>
      <w:r>
        <w:rPr>
          <w:color w:val="000000"/>
        </w:rPr>
        <w:tab/>
      </w:r>
    </w:p>
    <w:p>
      <w:pPr>
        <w:pStyle w:val="Normal"/>
        <w:spacing w:lineRule="auto" w:line="480"/>
        <w:ind w:firstLine="708"/>
        <w:jc w:val="both"/>
        <w:rPr>
          <w:color w:val="000000"/>
        </w:rPr>
      </w:pPr>
      <w:r>
        <w:rPr>
          <w:color w:val="000000"/>
        </w:rPr>
        <w:t xml:space="preserve">  </w:t>
      </w:r>
      <w:r>
        <w:rPr>
          <w:color w:val="000000"/>
        </w:rPr>
        <w:t xml:space="preserve">2.2 . O quantitativo solicitado foi  determinado de acordo com a Proposta de Aquisição de Equipamento Permanente de nº. 11399.442000/1170-01, com recurso advindo de Emenda Parlamentar, conforme comprovado na documentação acostada nos autos.  </w:t>
      </w:r>
    </w:p>
    <w:p>
      <w:pPr>
        <w:pStyle w:val="Normal"/>
        <w:spacing w:lineRule="auto" w:line="480"/>
        <w:jc w:val="both"/>
        <w:rPr>
          <w:color w:val="000000"/>
        </w:rPr>
      </w:pPr>
      <w:r>
        <w:rPr>
          <w:color w:val="000000"/>
        </w:rPr>
      </w:r>
    </w:p>
    <w:p>
      <w:pPr>
        <w:pStyle w:val="ListParagraph"/>
        <w:numPr>
          <w:ilvl w:val="0"/>
          <w:numId w:val="1"/>
        </w:numPr>
        <w:spacing w:lineRule="auto" w:line="480"/>
        <w:jc w:val="both"/>
        <w:rPr>
          <w:color w:val="000000"/>
        </w:rPr>
      </w:pPr>
      <w:r>
        <w:rPr>
          <w:color w:val="000000"/>
          <w:u w:val="single"/>
        </w:rPr>
        <w:t>DA JUSTIFICATIVA E DO OBJETO DA CONTRATAÇÃO</w:t>
      </w:r>
    </w:p>
    <w:p>
      <w:pPr>
        <w:pStyle w:val="ListParagraph"/>
        <w:spacing w:lineRule="auto" w:line="480"/>
        <w:jc w:val="both"/>
        <w:rPr>
          <w:color w:val="000000"/>
        </w:rPr>
      </w:pPr>
      <w:r>
        <w:rPr>
          <w:color w:val="000000"/>
        </w:rPr>
        <w:t>3.1. A Secretaria Municipal de Saúde de Nova Friburgo realiza anualmente licitações para abastecimento das unidades de saúde, que compõem sua estrutura, com a devida previsão dos materiais nelas utilizados.</w:t>
      </w:r>
    </w:p>
    <w:p>
      <w:pPr>
        <w:pStyle w:val="ListParagraph"/>
        <w:spacing w:lineRule="auto" w:line="480"/>
        <w:jc w:val="both"/>
        <w:rPr>
          <w:color w:val="000000"/>
        </w:rPr>
      </w:pPr>
      <w:r>
        <w:rPr>
          <w:color w:val="000000"/>
        </w:rPr>
        <w:t>3.2. A presente proposição para aquisição de móveis para a ESF  justifica-se pela necessidade de dar continuidade aos serviços prestados nos postos de saúde, que atendem aos pacientes da região.</w:t>
      </w:r>
    </w:p>
    <w:p>
      <w:pPr>
        <w:pStyle w:val="ListParagraph"/>
        <w:spacing w:lineRule="auto" w:line="480"/>
        <w:jc w:val="both"/>
        <w:rPr>
          <w:color w:val="000000"/>
        </w:rPr>
      </w:pPr>
      <w:r>
        <w:rPr>
          <w:color w:val="000000"/>
        </w:rPr>
        <w:t>3.3. Esta aquisição tem por finalidade assegurar o fornecimento de condições mínimas necessárias para o adequado funcionamento das unidades.</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r>
    </w:p>
    <w:p>
      <w:pPr>
        <w:pStyle w:val="ListParagraph"/>
        <w:numPr>
          <w:ilvl w:val="0"/>
          <w:numId w:val="1"/>
        </w:numPr>
        <w:spacing w:lineRule="auto" w:line="480"/>
        <w:jc w:val="both"/>
        <w:rPr>
          <w:color w:val="000000"/>
        </w:rPr>
      </w:pPr>
      <w:r>
        <w:rPr>
          <w:color w:val="000000"/>
          <w:u w:val="single"/>
        </w:rPr>
        <w:t>QUANTITATIVOS E LOCAIS DE ENTREGA</w:t>
      </w:r>
    </w:p>
    <w:p>
      <w:pPr>
        <w:pStyle w:val="ListParagraph"/>
        <w:spacing w:lineRule="auto" w:line="480"/>
        <w:jc w:val="both"/>
        <w:rPr>
          <w:b/>
          <w:b/>
          <w:color w:val="000000"/>
        </w:rPr>
      </w:pPr>
      <w:r>
        <w:rPr>
          <w:color w:val="000000"/>
        </w:rPr>
        <w:t xml:space="preserve">4.1. A Contratada deverá atender à ordem de fornecimento expedidas pela Unidade Requisitante, ressaltando que  todos os itens solicitados serão destinados ao atendimento das necessidades da USF AMPARO. </w:t>
      </w:r>
    </w:p>
    <w:p>
      <w:pPr>
        <w:pStyle w:val="ListParagraph"/>
        <w:spacing w:lineRule="auto" w:line="480"/>
        <w:jc w:val="both"/>
        <w:rPr>
          <w:color w:val="000000"/>
        </w:rPr>
      </w:pPr>
      <w:r>
        <w:rPr>
          <w:color w:val="000000"/>
        </w:rPr>
        <w:t>4.2. A entrega deverá ser realizada na  USF de Amparo localizada na Rua Rivail Gripp, 75 Amparo, Nova Friburgo/RJ, no horário de 9:00 às 17:00.</w:t>
      </w:r>
    </w:p>
    <w:p>
      <w:pPr>
        <w:pStyle w:val="ListParagraph"/>
        <w:spacing w:lineRule="auto" w:line="480"/>
        <w:jc w:val="both"/>
        <w:rPr>
          <w:color w:val="000000"/>
        </w:rPr>
      </w:pPr>
      <w:r>
        <w:rPr>
          <w:color w:val="000000"/>
        </w:rPr>
      </w:r>
    </w:p>
    <w:p>
      <w:pPr>
        <w:pStyle w:val="ListParagraph"/>
        <w:numPr>
          <w:ilvl w:val="0"/>
          <w:numId w:val="1"/>
        </w:numPr>
        <w:spacing w:lineRule="auto" w:line="480"/>
        <w:jc w:val="both"/>
        <w:rPr>
          <w:color w:val="000000"/>
        </w:rPr>
      </w:pPr>
      <w:r>
        <w:rPr>
          <w:color w:val="000000"/>
          <w:u w:val="single"/>
        </w:rPr>
        <w:t>PRAZOS E CONDIÇÕES DE ENTREGA</w:t>
      </w:r>
    </w:p>
    <w:p>
      <w:pPr>
        <w:pStyle w:val="ListParagraph"/>
        <w:spacing w:lineRule="auto" w:line="480"/>
        <w:jc w:val="both"/>
        <w:rPr/>
      </w:pPr>
      <w:r>
        <w:rPr>
          <w:color w:val="000000"/>
        </w:rPr>
        <w:t>5.1. A Unidade Requisitante entrarão em contato diretamente com a Contratada para que esta realize a entrega dos produtos, no prazo de 30 dias corridos, após emitida Nota de Empenho.</w:t>
      </w:r>
    </w:p>
    <w:p>
      <w:pPr>
        <w:pStyle w:val="ListParagraph"/>
        <w:spacing w:lineRule="auto" w:line="480"/>
        <w:jc w:val="both"/>
        <w:rPr>
          <w:color w:val="000000"/>
        </w:rPr>
      </w:pPr>
      <w:r>
        <w:rPr>
          <w:color w:val="000000"/>
        </w:rPr>
        <w:t>5.2. A entrega deverá ser realizada no horário e local descritos nos subitens 4.2  deste Termo de Referência.</w:t>
      </w:r>
    </w:p>
    <w:p>
      <w:pPr>
        <w:pStyle w:val="ListParagraph"/>
        <w:spacing w:lineRule="auto" w:line="480"/>
        <w:jc w:val="both"/>
        <w:rPr>
          <w:color w:val="000000"/>
        </w:rPr>
      </w:pPr>
      <w:r>
        <w:rPr>
          <w:color w:val="000000"/>
        </w:rPr>
        <w:t xml:space="preserve">5.3.  A falta do produto não poderá ser alegada como motivo de força maior para o atraso, má execução ou inexecução do fornecimento objeto deste Termo de Referência, e não eximirá a fornecedora das sanções a que está sujeita pelo não cumprimento dos prazos e demais condições estabelecidas.  </w:t>
      </w:r>
    </w:p>
    <w:p>
      <w:pPr>
        <w:pStyle w:val="ListParagraph"/>
        <w:spacing w:lineRule="auto" w:line="480"/>
        <w:jc w:val="both"/>
        <w:rPr>
          <w:color w:val="000000"/>
        </w:rPr>
      </w:pPr>
      <w:r>
        <w:rPr>
          <w:color w:val="000000"/>
        </w:rPr>
        <w:t>5.4. Em hipótese alguma serão aceitos produtos em desacordo com as condições pactuadas, ficando sob responsabilidade da Contratada o controle de qualidade do fornecimento, bem como a repetição, às suas próprias custas, para correção de falhas, visando à apresentação da qualidade e resultados requisitados.</w:t>
      </w:r>
    </w:p>
    <w:p>
      <w:pPr>
        <w:pStyle w:val="ListParagraph"/>
        <w:spacing w:lineRule="auto" w:line="480"/>
        <w:jc w:val="both"/>
        <w:rPr>
          <w:color w:val="000000"/>
        </w:rPr>
      </w:pPr>
      <w:r>
        <w:rPr>
          <w:color w:val="000000"/>
        </w:rPr>
        <w:t>5.5. A contratada ficará sujeita as seguintes condições:</w:t>
      </w:r>
    </w:p>
    <w:p>
      <w:pPr>
        <w:pStyle w:val="ListParagraph"/>
        <w:spacing w:lineRule="auto" w:line="480"/>
        <w:ind w:left="1410" w:hanging="0"/>
        <w:jc w:val="both"/>
        <w:rPr>
          <w:color w:val="000000"/>
        </w:rPr>
      </w:pPr>
      <w:r>
        <w:rPr>
          <w:color w:val="000000"/>
        </w:rPr>
        <w:t>5.5.1. Entregar os produtos contendo, em sua embalagem, a data de fabricação, validade  e/ou vida útil;</w:t>
      </w:r>
    </w:p>
    <w:p>
      <w:pPr>
        <w:pStyle w:val="ListParagraph"/>
        <w:spacing w:lineRule="auto" w:line="480"/>
        <w:ind w:left="1410" w:hanging="0"/>
        <w:jc w:val="both"/>
        <w:rPr>
          <w:color w:val="000000"/>
        </w:rPr>
      </w:pPr>
      <w:r>
        <w:rPr>
          <w:color w:val="000000"/>
        </w:rPr>
        <w:t>5.5.2. Seguir programação do órgão requisitante, quanto à data, horário, local e quantidade a serem entregues;</w:t>
      </w:r>
    </w:p>
    <w:p>
      <w:pPr>
        <w:pStyle w:val="ListParagraph"/>
        <w:spacing w:lineRule="auto" w:line="480"/>
        <w:ind w:left="1410" w:hanging="0"/>
        <w:jc w:val="both"/>
        <w:rPr>
          <w:color w:val="000000"/>
        </w:rPr>
      </w:pPr>
      <w:r>
        <w:rPr>
          <w:color w:val="000000"/>
        </w:rPr>
        <w:t>5.5.3. Comprometer-se a dar total garantia quanto à qualidade dos materiais fornecidos, bem como efetuar a substituição imediata, e totalmente às suas expensas, de qualquer produto entregue comprovadamente em desacordo com este Termo de Referência, ou seja, fora das especificações técnicas e padrões de qualidade exigidos.</w:t>
      </w:r>
    </w:p>
    <w:p>
      <w:pPr>
        <w:pStyle w:val="Normal"/>
        <w:spacing w:lineRule="auto" w:line="480"/>
        <w:jc w:val="both"/>
        <w:rPr>
          <w:color w:val="000000"/>
        </w:rPr>
      </w:pPr>
      <w:r>
        <w:rPr>
          <w:color w:val="000000"/>
        </w:rPr>
      </w:r>
    </w:p>
    <w:p>
      <w:pPr>
        <w:pStyle w:val="ListParagraph"/>
        <w:numPr>
          <w:ilvl w:val="0"/>
          <w:numId w:val="1"/>
        </w:numPr>
        <w:spacing w:lineRule="auto" w:line="480"/>
        <w:jc w:val="both"/>
        <w:rPr>
          <w:color w:val="000000"/>
        </w:rPr>
      </w:pPr>
      <w:r>
        <w:rPr>
          <w:color w:val="000000"/>
          <w:u w:val="single"/>
        </w:rPr>
        <w:t>DA CLASSIFICAÇÃO DOS BENS COMUNS</w:t>
      </w:r>
    </w:p>
    <w:p>
      <w:pPr>
        <w:pStyle w:val="ListParagraph"/>
        <w:spacing w:lineRule="auto" w:line="480"/>
        <w:jc w:val="both"/>
        <w:rPr>
          <w:color w:val="000000"/>
        </w:rPr>
      </w:pPr>
      <w:r>
        <w:rPr>
          <w:color w:val="000000"/>
        </w:rPr>
        <w:t>6.1 – Os bens a serem adquiridos enquadram-se na classificação de bens comuns, nos termos da Lei vigente.</w:t>
      </w:r>
    </w:p>
    <w:p>
      <w:pPr>
        <w:pStyle w:val="Normal"/>
        <w:spacing w:lineRule="auto" w:line="480"/>
        <w:jc w:val="both"/>
        <w:rPr>
          <w:color w:val="000000"/>
        </w:rPr>
      </w:pPr>
      <w:r>
        <w:rPr>
          <w:color w:val="000000"/>
        </w:rPr>
      </w:r>
    </w:p>
    <w:p>
      <w:pPr>
        <w:pStyle w:val="ListParagraph"/>
        <w:numPr>
          <w:ilvl w:val="0"/>
          <w:numId w:val="1"/>
        </w:numPr>
        <w:spacing w:lineRule="auto" w:line="480"/>
        <w:jc w:val="both"/>
        <w:rPr>
          <w:color w:val="000000"/>
        </w:rPr>
      </w:pPr>
      <w:r>
        <w:rPr>
          <w:color w:val="000000"/>
          <w:u w:val="single"/>
        </w:rPr>
        <w:t>RECEBIMENTO E CRITÉRIO DE ACEITAÇÃO DO OBJETO</w:t>
      </w:r>
    </w:p>
    <w:p>
      <w:pPr>
        <w:pStyle w:val="ListParagraph"/>
        <w:spacing w:lineRule="auto" w:line="480"/>
        <w:jc w:val="both"/>
        <w:rPr>
          <w:color w:val="000000"/>
        </w:rPr>
      </w:pPr>
      <w:r>
        <w:rPr>
          <w:color w:val="000000"/>
        </w:rPr>
        <w:t>7.1. Os bens são recebidos:</w:t>
      </w:r>
    </w:p>
    <w:p>
      <w:pPr>
        <w:pStyle w:val="ListParagraph"/>
        <w:spacing w:lineRule="auto" w:line="480"/>
        <w:ind w:left="1410" w:hanging="0"/>
        <w:jc w:val="both"/>
        <w:rPr>
          <w:color w:val="000000"/>
        </w:rPr>
      </w:pPr>
      <w:r>
        <w:rPr>
          <w:color w:val="000000"/>
        </w:rPr>
        <w:t>7.1.1. Provisoriamente, a partir da entrega, para efeitos de verificação da conformidade com as especificações constantes neste Termo de Referência.</w:t>
      </w:r>
    </w:p>
    <w:p>
      <w:pPr>
        <w:pStyle w:val="ListParagraph"/>
        <w:spacing w:lineRule="auto" w:line="480"/>
        <w:ind w:left="1410" w:hanging="0"/>
        <w:jc w:val="both"/>
        <w:rPr/>
      </w:pPr>
      <w:r>
        <w:rPr>
          <w:color w:val="000000"/>
        </w:rPr>
        <w:t>7.1.2. Definitivamente, após verificação da conformidade com as especificações constantes do edital e das propostas. Sua consequente aceitação, se dará em até 02 dias úteis a contar do recebimento provisório.</w:t>
      </w:r>
    </w:p>
    <w:p>
      <w:pPr>
        <w:pStyle w:val="Normal"/>
        <w:spacing w:lineRule="auto" w:line="480"/>
        <w:ind w:left="705" w:hanging="0"/>
        <w:jc w:val="both"/>
        <w:rPr>
          <w:color w:val="000000"/>
        </w:rPr>
      </w:pPr>
      <w:r>
        <w:rPr>
          <w:color w:val="000000"/>
        </w:rPr>
        <w:t>7.2. Na hipótese de a verificação a que se refere o subitem anterior não ser procedida dentro do prazo fixado, reputar-se á como realizada, consumando-se o recebimento provisório.</w:t>
      </w:r>
    </w:p>
    <w:p>
      <w:pPr>
        <w:pStyle w:val="Normal"/>
        <w:spacing w:lineRule="auto" w:line="480"/>
        <w:jc w:val="both"/>
        <w:rPr>
          <w:color w:val="000000"/>
        </w:rPr>
      </w:pPr>
      <w:r>
        <w:rPr>
          <w:color w:val="000000"/>
        </w:rPr>
      </w:r>
    </w:p>
    <w:p>
      <w:pPr>
        <w:pStyle w:val="ListParagraph"/>
        <w:numPr>
          <w:ilvl w:val="0"/>
          <w:numId w:val="1"/>
        </w:numPr>
        <w:spacing w:lineRule="auto" w:line="480"/>
        <w:jc w:val="both"/>
        <w:rPr>
          <w:color w:val="000000"/>
        </w:rPr>
      </w:pPr>
      <w:r>
        <w:rPr>
          <w:color w:val="000000"/>
          <w:u w:val="single"/>
        </w:rPr>
        <w:t>DA DOTAÇÃO ORÇAMENTÁRIA</w:t>
      </w:r>
    </w:p>
    <w:p>
      <w:pPr>
        <w:pStyle w:val="ListParagraph"/>
        <w:spacing w:lineRule="auto" w:line="480"/>
        <w:jc w:val="both"/>
        <w:rPr>
          <w:color w:val="000000"/>
        </w:rPr>
      </w:pPr>
      <w:r>
        <w:rPr>
          <w:color w:val="000000"/>
        </w:rPr>
        <w:t>8.1. As despesas decorrentes da aquisição dos objetos previstos no presente Termo de Referência correrão por conta do elemento de despesa e fonte de recurso abaixo descritos:</w:t>
      </w:r>
    </w:p>
    <w:p>
      <w:pPr>
        <w:pStyle w:val="ListParagraph"/>
        <w:spacing w:lineRule="auto" w:line="480"/>
        <w:jc w:val="both"/>
        <w:rPr>
          <w:color w:val="000000"/>
        </w:rPr>
      </w:pPr>
      <w:r>
        <w:rPr>
          <w:color w:val="000000"/>
        </w:rPr>
        <w:tab/>
        <w:t>8.1.1. Elemento de Despesa – 44.90.52</w:t>
      </w:r>
    </w:p>
    <w:p>
      <w:pPr>
        <w:pStyle w:val="ListParagraph"/>
        <w:spacing w:lineRule="auto" w:line="480"/>
        <w:jc w:val="both"/>
        <w:rPr>
          <w:color w:val="000000"/>
        </w:rPr>
      </w:pPr>
      <w:r>
        <w:rPr>
          <w:color w:val="000000"/>
        </w:rPr>
        <w:tab/>
        <w:t>8.1.2. Fonte de Recurso – 07 – SUS</w:t>
      </w:r>
    </w:p>
    <w:p>
      <w:pPr>
        <w:pStyle w:val="ListParagraph"/>
        <w:spacing w:lineRule="auto" w:line="480"/>
        <w:jc w:val="both"/>
        <w:rPr>
          <w:color w:val="000000"/>
        </w:rPr>
      </w:pPr>
      <w:r>
        <w:rPr>
          <w:color w:val="000000"/>
        </w:rPr>
        <w:t>8.2. Quanto aos Programas de Trabalho, serão utilizados de acordo com as especificações a seguir:</w:t>
      </w:r>
    </w:p>
    <w:p>
      <w:pPr>
        <w:pStyle w:val="ListParagraph"/>
        <w:spacing w:lineRule="auto" w:line="480"/>
        <w:jc w:val="both"/>
        <w:rPr>
          <w:color w:val="000000"/>
        </w:rPr>
      </w:pPr>
      <w:r>
        <w:rPr>
          <w:color w:val="000000"/>
        </w:rPr>
        <w:tab/>
        <w:t>8.2.1. Estratégia de Saúde da Família: 30001.1030100872.318</w:t>
      </w:r>
    </w:p>
    <w:p>
      <w:pPr>
        <w:pStyle w:val="ListParagraph"/>
        <w:spacing w:lineRule="auto" w:line="480"/>
        <w:jc w:val="both"/>
        <w:rPr>
          <w:color w:val="000000"/>
        </w:rPr>
      </w:pPr>
      <w:r>
        <w:rPr>
          <w:color w:val="000000"/>
        </w:rPr>
        <w:t>8.3. As notas fiscais deverão ser emitidas em nome do FUNDO MUNICIPAL DE SÀUDE, CNPJ: 11.399.442/0001-79, AVENIDA ALBERTO BRAUNE, 224, SALA 221, CENTRO, NOVA FRIBURGO/RJ, CEP 28613-001.</w:t>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 xml:space="preserve"> </w:t>
      </w:r>
      <w:r>
        <w:rPr>
          <w:color w:val="000000"/>
        </w:rPr>
        <w:t xml:space="preserve">9 – </w:t>
      </w:r>
      <w:r>
        <w:rPr>
          <w:color w:val="000000"/>
          <w:u w:val="single"/>
        </w:rPr>
        <w:t>DA LIQUIDAÇÃO</w:t>
      </w:r>
    </w:p>
    <w:p>
      <w:pPr>
        <w:pStyle w:val="Normal"/>
        <w:spacing w:lineRule="auto" w:line="480"/>
        <w:ind w:left="705" w:hanging="0"/>
        <w:jc w:val="both"/>
        <w:rPr>
          <w:color w:val="000000"/>
        </w:rPr>
      </w:pPr>
      <w:r>
        <w:rPr>
          <w:color w:val="000000"/>
        </w:rPr>
        <w:t xml:space="preserve">9.1. A liquidação será realizada pela Secretaria Municipal de Finanças. Planejamento, Desenvolvimento Econômico e Gestão, a partir do cumprimento das obrigações elencadas neste Termo de Referência. </w:t>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10 –</w:t>
      </w:r>
      <w:r>
        <w:rPr>
          <w:color w:val="000000"/>
          <w:u w:val="single"/>
        </w:rPr>
        <w:t>DO PAGAMENTO</w:t>
      </w:r>
    </w:p>
    <w:p>
      <w:pPr>
        <w:pStyle w:val="Normal"/>
        <w:spacing w:lineRule="auto" w:line="480"/>
        <w:ind w:left="705" w:right="0" w:hanging="0"/>
        <w:jc w:val="both"/>
        <w:rPr/>
      </w:pPr>
      <w:r>
        <w:rPr>
          <w:color w:val="000000"/>
        </w:rPr>
        <w:t>O pagamento será efetuado conforme dispõem o decreto nº.258 de 27 de setembro de 2018, desde que as certidões listadas abaixo estejam dentro da validade:</w:t>
      </w:r>
    </w:p>
    <w:p>
      <w:pPr>
        <w:pStyle w:val="Normal"/>
        <w:spacing w:lineRule="auto" w:line="480"/>
        <w:ind w:left="705" w:right="0" w:hanging="0"/>
        <w:jc w:val="both"/>
        <w:rPr>
          <w:color w:val="000000"/>
        </w:rPr>
      </w:pPr>
      <w:r>
        <w:rPr>
          <w:color w:val="000000"/>
        </w:rPr>
        <w:tab/>
        <w:tab/>
        <w:t>10.1.1. Negativa de Débitos Trabalhistas;</w:t>
      </w:r>
    </w:p>
    <w:p>
      <w:pPr>
        <w:pStyle w:val="Normal"/>
        <w:spacing w:lineRule="auto" w:line="480"/>
        <w:ind w:left="705" w:right="0" w:hanging="0"/>
        <w:jc w:val="both"/>
        <w:rPr>
          <w:color w:val="000000"/>
        </w:rPr>
      </w:pPr>
      <w:r>
        <w:rPr>
          <w:color w:val="000000"/>
        </w:rPr>
        <w:tab/>
        <w:tab/>
        <w:t>10.1.2. Fazenda Federal – abrange as contribuições sociais;</w:t>
      </w:r>
    </w:p>
    <w:p>
      <w:pPr>
        <w:pStyle w:val="Normal"/>
        <w:spacing w:lineRule="auto" w:line="480"/>
        <w:ind w:left="705" w:right="0" w:hanging="0"/>
        <w:jc w:val="both"/>
        <w:rPr>
          <w:color w:val="000000"/>
        </w:rPr>
      </w:pPr>
      <w:r>
        <w:rPr>
          <w:color w:val="000000"/>
        </w:rPr>
        <w:tab/>
        <w:tab/>
        <w:t>10.1.3. FGTS;</w:t>
      </w:r>
    </w:p>
    <w:p>
      <w:pPr>
        <w:pStyle w:val="Normal"/>
        <w:spacing w:lineRule="auto" w:line="480"/>
        <w:ind w:left="705" w:right="0" w:hanging="0"/>
        <w:jc w:val="both"/>
        <w:rPr>
          <w:color w:val="000000"/>
        </w:rPr>
      </w:pPr>
      <w:r>
        <w:rPr>
          <w:color w:val="000000"/>
        </w:rPr>
        <w:tab/>
        <w:tab/>
        <w:t>10.1.4. PGE- referente a Divida Ativa;</w:t>
      </w:r>
    </w:p>
    <w:p>
      <w:pPr>
        <w:pStyle w:val="Normal"/>
        <w:spacing w:lineRule="auto" w:line="480"/>
        <w:ind w:left="705" w:right="0" w:hanging="0"/>
        <w:jc w:val="both"/>
        <w:rPr>
          <w:color w:val="000000"/>
        </w:rPr>
      </w:pPr>
      <w:r>
        <w:rPr>
          <w:color w:val="000000"/>
        </w:rPr>
        <w:tab/>
        <w:tab/>
        <w:t>10.1.5. Municipal – referente ao ISS e Divida Ativa</w:t>
      </w:r>
    </w:p>
    <w:p>
      <w:pPr>
        <w:pStyle w:val="Normal"/>
        <w:spacing w:lineRule="auto" w:line="480"/>
        <w:ind w:left="705" w:right="0" w:hanging="0"/>
        <w:jc w:val="both"/>
        <w:rPr/>
      </w:pPr>
      <w:r>
        <w:rPr>
          <w:color w:val="000000"/>
        </w:rPr>
        <w:t xml:space="preserve">            </w:t>
      </w:r>
      <w:r>
        <w:rPr>
          <w:color w:val="000000"/>
        </w:rPr>
        <w:t>10.1.6. Estadual CND – referente ao ICMS</w:t>
      </w:r>
    </w:p>
    <w:p>
      <w:pPr>
        <w:pStyle w:val="Normal"/>
        <w:spacing w:lineRule="auto" w:line="480"/>
        <w:ind w:left="705" w:right="0" w:hanging="0"/>
        <w:jc w:val="both"/>
        <w:rPr/>
      </w:pPr>
      <w:r>
        <w:rPr>
          <w:color w:val="000000"/>
        </w:rPr>
        <w:t>10.2. A Nota Fiscal de Serviço deverá conter a identificação do Banco, número da Agência e da Conta-Corrente, para que a Contratante possa efetuar o pagamento do valor devido.</w:t>
      </w:r>
    </w:p>
    <w:p>
      <w:pPr>
        <w:pStyle w:val="Normal"/>
        <w:spacing w:lineRule="auto" w:line="480"/>
        <w:ind w:left="705" w:right="0" w:hanging="0"/>
        <w:jc w:val="both"/>
        <w:rPr>
          <w:color w:val="000000"/>
        </w:rPr>
      </w:pPr>
      <w:r>
        <w:rPr>
          <w:color w:val="000000"/>
        </w:rPr>
        <w:t>10.3. Na  ocorrência de rejeição da Nota Fiscal, motivada por erro ou incorreções, o prazo para pagamento estipulado acima passará a ser contado a partir da data de sua reapresentação.</w:t>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 xml:space="preserve">11- </w:t>
      </w:r>
      <w:r>
        <w:rPr>
          <w:color w:val="000000"/>
          <w:u w:val="single"/>
        </w:rPr>
        <w:t>DAS CONDIÇÕES DE PARTICIPAÇÃO</w:t>
      </w:r>
    </w:p>
    <w:p>
      <w:pPr>
        <w:pStyle w:val="Normal"/>
        <w:spacing w:lineRule="auto" w:line="480"/>
        <w:ind w:left="705" w:hanging="0"/>
        <w:jc w:val="both"/>
        <w:rPr>
          <w:color w:val="000000"/>
        </w:rPr>
      </w:pPr>
      <w:r>
        <w:rPr>
          <w:color w:val="000000"/>
        </w:rPr>
        <w:t>11.1. Não poderão participar da licitação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Publica;</w:t>
      </w:r>
    </w:p>
    <w:p>
      <w:pPr>
        <w:pStyle w:val="Normal"/>
        <w:spacing w:lineRule="auto" w:line="480"/>
        <w:ind w:left="705" w:hanging="0"/>
        <w:jc w:val="both"/>
        <w:rPr/>
      </w:pPr>
      <w:r>
        <w:rPr>
          <w:color w:val="000000"/>
        </w:rPr>
        <w:t>11.2. Não poderão participar ainda os servidores de qualquer órgão ou entidades vinculadas ao Município de Nova Friburgo, bem assim as empresas das quais tais servidores sejam sócios, dirigentes ou responsáveis técnicos.</w:t>
      </w:r>
    </w:p>
    <w:p>
      <w:pPr>
        <w:pStyle w:val="Normal"/>
        <w:spacing w:lineRule="auto" w:line="480"/>
        <w:ind w:left="705" w:hanging="0"/>
        <w:jc w:val="both"/>
        <w:rPr>
          <w:color w:val="000000"/>
        </w:rPr>
      </w:pPr>
      <w:r>
        <w:rPr>
          <w:color w:val="000000"/>
        </w:rPr>
      </w:r>
    </w:p>
    <w:p>
      <w:pPr>
        <w:pStyle w:val="Normal"/>
        <w:spacing w:lineRule="auto" w:line="480"/>
        <w:jc w:val="both"/>
        <w:rPr>
          <w:color w:val="000000"/>
        </w:rPr>
      </w:pPr>
      <w:r>
        <w:rPr>
          <w:color w:val="000000"/>
        </w:rPr>
        <w:t xml:space="preserve">12- </w:t>
      </w:r>
      <w:r>
        <w:rPr>
          <w:color w:val="000000"/>
          <w:u w:val="single"/>
        </w:rPr>
        <w:t>DAS OBRIGAÇÕES DA CONTRATANTE</w:t>
      </w:r>
      <w:r>
        <w:rPr>
          <w:color w:val="000000"/>
        </w:rPr>
        <w:tab/>
      </w:r>
    </w:p>
    <w:p>
      <w:pPr>
        <w:pStyle w:val="Normal"/>
        <w:spacing w:lineRule="auto" w:line="480"/>
        <w:jc w:val="both"/>
        <w:rPr>
          <w:color w:val="000000"/>
        </w:rPr>
      </w:pPr>
      <w:r>
        <w:rPr>
          <w:color w:val="000000"/>
        </w:rPr>
        <w:tab/>
        <w:t>12.1.Caberá à Contratante:</w:t>
      </w:r>
    </w:p>
    <w:p>
      <w:pPr>
        <w:pStyle w:val="Normal"/>
        <w:spacing w:lineRule="auto" w:line="480"/>
        <w:ind w:left="1410" w:hanging="0"/>
        <w:jc w:val="both"/>
        <w:rPr>
          <w:color w:val="000000"/>
        </w:rPr>
      </w:pPr>
      <w:r>
        <w:rPr>
          <w:color w:val="000000"/>
        </w:rPr>
        <w:t>12.1.1. Exigir o cumprimento de todas as obrigações assumidas pela Contratada, de acordo com as cláusulas contratuais e os termos de sua proposta;</w:t>
      </w:r>
    </w:p>
    <w:p>
      <w:pPr>
        <w:pStyle w:val="Normal"/>
        <w:spacing w:lineRule="auto" w:line="480"/>
        <w:ind w:left="1410" w:hanging="0"/>
        <w:jc w:val="both"/>
        <w:rPr>
          <w:color w:val="000000"/>
        </w:rPr>
      </w:pPr>
      <w:r>
        <w:rPr>
          <w:color w:val="000000"/>
        </w:rPr>
        <w:t>12.1.2. Receber provisoriamente o material, disponibilizado local, data e horário;</w:t>
      </w:r>
    </w:p>
    <w:p>
      <w:pPr>
        <w:pStyle w:val="Normal"/>
        <w:spacing w:lineRule="auto" w:line="480"/>
        <w:ind w:left="1410" w:hanging="0"/>
        <w:jc w:val="both"/>
        <w:rPr>
          <w:color w:val="000000"/>
        </w:rPr>
      </w:pPr>
      <w:r>
        <w:rPr>
          <w:color w:val="000000"/>
        </w:rPr>
        <w:t xml:space="preserve">12.1.3. Verificar minuciosamente, no prazo fixado, a conformidade dos bens recebidos </w:t>
      </w:r>
    </w:p>
    <w:p>
      <w:pPr>
        <w:pStyle w:val="Normal"/>
        <w:spacing w:lineRule="auto" w:line="480"/>
        <w:ind w:left="1410" w:hanging="0"/>
        <w:jc w:val="both"/>
        <w:rPr>
          <w:color w:val="000000"/>
        </w:rPr>
      </w:pPr>
      <w:r>
        <w:rPr>
          <w:color w:val="000000"/>
        </w:rPr>
        <w:t>Provisoriamente com as especificações constantes do Termo de Referência e da proposta, para fins de aceitação e recebimento definitivo;</w:t>
      </w:r>
    </w:p>
    <w:p>
      <w:pPr>
        <w:pStyle w:val="Normal"/>
        <w:spacing w:lineRule="auto" w:line="480"/>
        <w:ind w:left="1410" w:hanging="0"/>
        <w:jc w:val="both"/>
        <w:rPr>
          <w:color w:val="000000"/>
        </w:rPr>
      </w:pPr>
      <w:r>
        <w:rPr>
          <w:color w:val="000000"/>
        </w:rPr>
        <w:t>12.1.4. Acompanhar e fiscalizar o cumprimento das obrigações da Contratada, através de servidor especialmente designado;</w:t>
      </w:r>
    </w:p>
    <w:p>
      <w:pPr>
        <w:pStyle w:val="Normal"/>
        <w:spacing w:lineRule="auto" w:line="480"/>
        <w:ind w:left="1410" w:hanging="0"/>
        <w:jc w:val="both"/>
        <w:rPr>
          <w:color w:val="000000"/>
        </w:rPr>
      </w:pPr>
      <w:r>
        <w:rPr>
          <w:color w:val="000000"/>
        </w:rPr>
        <w:t>12.1.5. Efetuar o pagamento no prazo previsto;</w:t>
      </w:r>
    </w:p>
    <w:p>
      <w:pPr>
        <w:pStyle w:val="Normal"/>
        <w:spacing w:lineRule="auto" w:line="480"/>
        <w:ind w:left="1410" w:hanging="0"/>
        <w:jc w:val="both"/>
        <w:rPr>
          <w:color w:val="000000"/>
        </w:rPr>
      </w:pPr>
      <w:r>
        <w:rPr>
          <w:color w:val="000000"/>
        </w:rPr>
        <w:t>12.1.6. Efetuar as retenções tributárias devidas sobre o valor da Nota Fiscal/Fatura fornecida pela contratada.</w:t>
      </w:r>
    </w:p>
    <w:p>
      <w:pPr>
        <w:pStyle w:val="Normal"/>
        <w:spacing w:lineRule="auto" w:line="480"/>
        <w:ind w:left="705" w:hanging="0"/>
        <w:jc w:val="both"/>
        <w:rPr>
          <w:color w:val="000000"/>
        </w:rPr>
      </w:pPr>
      <w:r>
        <w:rPr>
          <w:color w:val="000000"/>
        </w:rPr>
        <w:t xml:space="preserve">12.2.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 xml:space="preserve">13- </w:t>
      </w:r>
      <w:r>
        <w:rPr>
          <w:color w:val="000000"/>
          <w:u w:val="single"/>
        </w:rPr>
        <w:t>DAS OBRIGAÇÕES DA CONTRATADA</w:t>
      </w:r>
    </w:p>
    <w:p>
      <w:pPr>
        <w:pStyle w:val="Normal"/>
        <w:spacing w:lineRule="auto" w:line="480"/>
        <w:jc w:val="both"/>
        <w:rPr>
          <w:color w:val="000000"/>
        </w:rPr>
      </w:pPr>
      <w:r>
        <w:rPr>
          <w:color w:val="000000"/>
        </w:rPr>
        <w:tab/>
        <w:t>13.1. Ter capacidade de atendimento da demanda com eficiência, presteza e zelo;</w:t>
      </w:r>
    </w:p>
    <w:p>
      <w:pPr>
        <w:pStyle w:val="Normal"/>
        <w:spacing w:lineRule="auto" w:line="480"/>
        <w:ind w:left="708" w:hanging="0"/>
        <w:jc w:val="both"/>
        <w:rPr/>
      </w:pPr>
      <w:r>
        <w:rPr>
          <w:color w:val="000000"/>
        </w:rPr>
        <w:t>13.2. Efetuar a entrega dos bens em perfeitas condições, no prazo e local indicados pela Contratante, em estrita observância das especificações do Termo de Referência e da proposta, acompanhada da respectiva Nota Fiscal Eletrônica COMPLETA constando detalhadamente as indicações da marca, fabricante, modelo, tipo, procedência e prazo de garantia, quando  for  o caso, acompanha das certidões de regularidade fiscais citadas nos subitens 10.1.1 a 10.1.6;</w:t>
      </w:r>
    </w:p>
    <w:p>
      <w:pPr>
        <w:pStyle w:val="Normal"/>
        <w:spacing w:lineRule="auto" w:line="480"/>
        <w:ind w:left="708" w:hanging="0"/>
        <w:jc w:val="both"/>
        <w:rPr>
          <w:color w:val="000000"/>
        </w:rPr>
      </w:pPr>
      <w:r>
        <w:rPr>
          <w:color w:val="000000"/>
        </w:rPr>
        <w:t xml:space="preserve">13.3. Responsabilizar-se pelos vícios e danos decorrentes do produto, de acordo com os artigos  12,13,18 e 26, do Código de Defesa do Consumidor (Lei nº.8.078, de 1990); </w:t>
      </w:r>
    </w:p>
    <w:p>
      <w:pPr>
        <w:pStyle w:val="Normal"/>
        <w:spacing w:lineRule="auto" w:line="480"/>
        <w:ind w:left="708" w:hanging="0"/>
        <w:jc w:val="both"/>
        <w:rPr>
          <w:color w:val="000000"/>
        </w:rPr>
      </w:pPr>
      <w:r>
        <w:rPr>
          <w:color w:val="000000"/>
        </w:rPr>
        <w:t>13.4. O dever previsto no subitem anterior implica na obrigação de, a critério da Contratante, substituir, reparar, corrigir remover, ou reconstruir, as suas expensas, no prazo máximo de 03 dias, o produto com avarias, defeitos ou em desacordo com o Termo de Referência;</w:t>
      </w:r>
    </w:p>
    <w:p>
      <w:pPr>
        <w:pStyle w:val="Normal"/>
        <w:spacing w:lineRule="auto" w:line="480"/>
        <w:ind w:left="708" w:hanging="0"/>
        <w:jc w:val="both"/>
        <w:rPr>
          <w:color w:val="000000"/>
        </w:rPr>
      </w:pPr>
      <w:r>
        <w:rPr>
          <w:color w:val="000000"/>
        </w:rPr>
        <w:t>13.5. Atender prontamente a quaisquer exigências da Contratante, inerentes ao objeto da presente contratação;</w:t>
      </w:r>
    </w:p>
    <w:p>
      <w:pPr>
        <w:pStyle w:val="Normal"/>
        <w:spacing w:lineRule="auto" w:line="480"/>
        <w:ind w:left="708" w:hanging="0"/>
        <w:jc w:val="both"/>
        <w:rPr/>
      </w:pPr>
      <w:r>
        <w:rPr>
          <w:color w:val="000000"/>
        </w:rPr>
        <w:t>13.6. Não transferir a terceiros, por qualquer forma, nem mesmo parcialmente, as obrigações assumidas, nem subcontratar qualquer das prestações a que está obrigada, exceto nas condições autorizadas no Termo de Referência ou na minuta do contrato.</w:t>
      </w:r>
    </w:p>
    <w:p>
      <w:pPr>
        <w:pStyle w:val="Normal"/>
        <w:spacing w:lineRule="auto" w:line="480"/>
        <w:ind w:left="708" w:hanging="0"/>
        <w:jc w:val="both"/>
        <w:rPr/>
      </w:pPr>
      <w:r>
        <w:rPr>
          <w:color w:val="000000"/>
        </w:rPr>
        <w:t xml:space="preserve">13.7. Responsabilizar-se, pelas despesas dos tributos, encargos trabalhistas, previdenciários, fiscais, comerciais, taxas, fretes, seguros, deslocamento de pessoal, prestação de garantia  e quaisquer outras que  incidam ou venham a incidir na execução do contrato. </w:t>
      </w:r>
    </w:p>
    <w:p>
      <w:pPr>
        <w:pStyle w:val="Normal"/>
        <w:spacing w:lineRule="auto" w:line="480"/>
        <w:ind w:left="708" w:hanging="0"/>
        <w:jc w:val="both"/>
        <w:rPr/>
      </w:pPr>
      <w:r>
        <w:rPr>
          <w:color w:val="000000"/>
        </w:rPr>
        <w:t>13.8. Comunicar à Contratante, no prazo mínimo de 72 horas de antecedência, os motivos que eventualmente impossibilitem o cumprimento do prazo previsto, com a devida comprovação;</w:t>
      </w:r>
    </w:p>
    <w:p>
      <w:pPr>
        <w:pStyle w:val="Normal"/>
        <w:spacing w:lineRule="auto" w:line="480"/>
        <w:ind w:left="708" w:hanging="0"/>
        <w:jc w:val="both"/>
        <w:rPr>
          <w:color w:val="000000"/>
        </w:rPr>
      </w:pPr>
      <w:r>
        <w:rPr>
          <w:color w:val="000000"/>
        </w:rPr>
        <w:t>13.9. Manter, durante toda a execução do contrato, em compatibilidade com as obrigações assumidas, todas as condições de habilitação e qualificação exigidas na licitação;</w:t>
      </w:r>
    </w:p>
    <w:p>
      <w:pPr>
        <w:pStyle w:val="Normal"/>
        <w:spacing w:lineRule="auto" w:line="480"/>
        <w:ind w:left="708" w:hanging="0"/>
        <w:jc w:val="both"/>
        <w:rPr>
          <w:color w:val="000000"/>
        </w:rPr>
      </w:pPr>
      <w:r>
        <w:rPr>
          <w:color w:val="000000"/>
        </w:rPr>
        <w:t>13.10. Arcar com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1º parágrafo do art. 57 da Lei nº. 8.666, de 1993.</w:t>
      </w:r>
    </w:p>
    <w:p>
      <w:pPr>
        <w:pStyle w:val="Normal"/>
        <w:spacing w:lineRule="auto" w:line="480"/>
        <w:ind w:left="708" w:hanging="0"/>
        <w:jc w:val="both"/>
        <w:rPr>
          <w:color w:val="000000"/>
        </w:rPr>
      </w:pPr>
      <w:r>
        <w:rPr>
          <w:color w:val="000000"/>
        </w:rPr>
      </w:r>
    </w:p>
    <w:p>
      <w:pPr>
        <w:pStyle w:val="Normal"/>
        <w:spacing w:lineRule="auto" w:line="480"/>
        <w:jc w:val="both"/>
        <w:rPr>
          <w:color w:val="000000"/>
          <w:u w:val="single"/>
        </w:rPr>
      </w:pPr>
      <w:r>
        <w:rPr>
          <w:color w:val="000000"/>
        </w:rPr>
        <w:t>14-</w:t>
      </w:r>
      <w:r>
        <w:rPr>
          <w:color w:val="000000"/>
          <w:u w:val="single"/>
        </w:rPr>
        <w:t>MEDIDAS ACAUTELADORAS</w:t>
      </w:r>
    </w:p>
    <w:p>
      <w:pPr>
        <w:pStyle w:val="Normal"/>
        <w:spacing w:lineRule="auto" w:line="480"/>
        <w:ind w:left="705" w:hanging="0"/>
        <w:jc w:val="both"/>
        <w:rPr>
          <w:color w:val="000000"/>
        </w:rPr>
      </w:pPr>
      <w:r>
        <w:rPr>
          <w:color w:val="000000"/>
        </w:rPr>
        <w:t>14.1. Consoante o artigo 45 da Lei nº.9.784, de 1999, a Administração Pública poderá, sem a prévia manifestação do interessado, motivadamente, adotar providências acauteladas, inclusive retendo o pagamento, em caso de risco iminente, como forma de prevenir a ocorrência de dano de difícil ou impossível reparação.</w:t>
      </w:r>
    </w:p>
    <w:p>
      <w:pPr>
        <w:pStyle w:val="Normal"/>
        <w:spacing w:lineRule="auto" w:line="480"/>
        <w:ind w:left="705" w:hanging="0"/>
        <w:jc w:val="both"/>
        <w:rPr>
          <w:color w:val="000000"/>
        </w:rPr>
      </w:pPr>
      <w:r>
        <w:rPr>
          <w:color w:val="000000"/>
        </w:rPr>
      </w:r>
    </w:p>
    <w:p>
      <w:pPr>
        <w:pStyle w:val="Normal"/>
        <w:spacing w:lineRule="auto" w:line="480"/>
        <w:jc w:val="both"/>
        <w:rPr>
          <w:color w:val="000000"/>
        </w:rPr>
      </w:pPr>
      <w:r>
        <w:rPr>
          <w:color w:val="000000"/>
        </w:rPr>
        <w:t xml:space="preserve">15- </w:t>
      </w:r>
      <w:r>
        <w:rPr>
          <w:color w:val="000000"/>
          <w:u w:val="single"/>
        </w:rPr>
        <w:t>DA SUBCONTRATAÇÃO</w:t>
      </w:r>
      <w:r>
        <w:rPr>
          <w:color w:val="000000"/>
        </w:rPr>
        <w:t xml:space="preserve"> </w:t>
      </w:r>
    </w:p>
    <w:p>
      <w:pPr>
        <w:pStyle w:val="Normal"/>
        <w:spacing w:lineRule="auto" w:line="480"/>
        <w:jc w:val="both"/>
        <w:rPr/>
      </w:pPr>
      <w:r>
        <w:rPr>
          <w:color w:val="000000"/>
        </w:rPr>
        <w:tab/>
        <w:t>15.1. Não será admitida a subcontratação do objeto.</w:t>
      </w:r>
    </w:p>
    <w:p>
      <w:pPr>
        <w:pStyle w:val="Normal"/>
        <w:spacing w:lineRule="auto" w:line="480"/>
        <w:jc w:val="both"/>
        <w:rPr>
          <w:color w:val="000000"/>
        </w:rPr>
      </w:pPr>
      <w:r>
        <w:rPr>
          <w:color w:val="000000"/>
        </w:rPr>
      </w:r>
    </w:p>
    <w:p>
      <w:pPr>
        <w:pStyle w:val="Normal"/>
        <w:spacing w:lineRule="auto" w:line="480"/>
        <w:jc w:val="both"/>
        <w:rPr/>
      </w:pPr>
      <w:r>
        <w:rPr>
          <w:color w:val="000000"/>
        </w:rPr>
        <w:t xml:space="preserve">16- </w:t>
      </w:r>
      <w:r>
        <w:rPr>
          <w:color w:val="000000"/>
          <w:u w:val="single"/>
        </w:rPr>
        <w:t xml:space="preserve">DA ALTERAÇÃO SUBJETIVA </w:t>
      </w:r>
    </w:p>
    <w:p>
      <w:pPr>
        <w:pStyle w:val="Normal"/>
        <w:spacing w:lineRule="auto" w:line="480"/>
        <w:ind w:left="705" w:hanging="0"/>
        <w:jc w:val="both"/>
        <w:rPr>
          <w:color w:val="000000"/>
        </w:rPr>
      </w:pPr>
      <w:r>
        <w:rPr>
          <w:color w:val="000000"/>
        </w:rPr>
        <w:t>16.1. È admissível a fusão, cisão ou incorporação da Contratada com/em outra pessoa jurídica, desde que sejam observados por esta nova pessoa jurídica todos os requisitos da habilitação exigidos, sejam mantidas as demais cláusulas e condições do contrato, não haja prejuízo à execução do objeto pactuado e haja a anuência expressa da Administração à continuidade do contrato.</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17-</w:t>
      </w:r>
      <w:r>
        <w:rPr>
          <w:color w:val="000000"/>
          <w:u w:val="single"/>
        </w:rPr>
        <w:t>DOS CRITERIOS DE SUSTENTABILIDADE AMBIENTAL</w:t>
      </w:r>
      <w:r>
        <w:rPr>
          <w:color w:val="000000"/>
        </w:rPr>
        <w:t xml:space="preserve">  </w:t>
      </w:r>
    </w:p>
    <w:p>
      <w:pPr>
        <w:pStyle w:val="Normal"/>
        <w:spacing w:lineRule="auto" w:line="480"/>
        <w:ind w:left="705" w:hanging="0"/>
        <w:jc w:val="both"/>
        <w:rPr>
          <w:color w:val="000000"/>
        </w:rPr>
      </w:pPr>
      <w:r>
        <w:rPr>
          <w:color w:val="000000"/>
        </w:rPr>
        <w:t>17.1. A Contratada deverá atender, no que couber, o critério de sustentabilidade ambiental previstos na Instrução Normativa SLTI/MPOG nº. 01, de 19/01/2010.</w:t>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18-</w:t>
      </w:r>
      <w:r>
        <w:rPr>
          <w:color w:val="000000"/>
          <w:u w:val="single"/>
        </w:rPr>
        <w:t>DO CONTROLE DA EXECUÇÃO</w:t>
      </w:r>
    </w:p>
    <w:p>
      <w:pPr>
        <w:pStyle w:val="Normal"/>
        <w:spacing w:lineRule="auto" w:line="480"/>
        <w:ind w:left="705" w:hanging="0"/>
        <w:jc w:val="both"/>
        <w:rPr>
          <w:color w:val="000000"/>
        </w:rPr>
      </w:pPr>
      <w:r>
        <w:rPr>
          <w:color w:val="000000"/>
        </w:rPr>
        <w:t xml:space="preserve">18.1. O acompanhamento e a fiscalização da contratação serão exercidos por um representante da Contratante, ao qual competirá dirimir as duvidas que surgirem no curso da execução  do contrato, e de tudo dará ciência à Administração, na forma dos artigos 67 e 73 da Lei nº. 8.666/93 e do artigo 6º do Decreto nº. 2.271, de 1997. </w:t>
      </w:r>
    </w:p>
    <w:p>
      <w:pPr>
        <w:pStyle w:val="Normal"/>
        <w:spacing w:lineRule="auto" w:line="480"/>
        <w:ind w:left="705" w:hanging="0"/>
        <w:jc w:val="both"/>
        <w:rPr/>
      </w:pPr>
      <w:r>
        <w:rPr>
          <w:color w:val="000000"/>
        </w:rPr>
        <w:t>18.2. Para acompanhamento e fiscalização da execução do presente contrato, ficam designados os agentes públicos abaixo informados:</w:t>
      </w:r>
    </w:p>
    <w:p>
      <w:pPr>
        <w:pStyle w:val="Normal"/>
        <w:spacing w:lineRule="auto" w:line="480"/>
        <w:ind w:left="705" w:hanging="0"/>
        <w:jc w:val="both"/>
        <w:rPr>
          <w:color w:val="000000"/>
        </w:rPr>
      </w:pPr>
      <w:r>
        <w:rPr>
          <w:color w:val="000000"/>
        </w:rPr>
      </w:r>
    </w:p>
    <w:p>
      <w:pPr>
        <w:pStyle w:val="Normal"/>
        <w:spacing w:lineRule="auto" w:line="480"/>
        <w:ind w:left="705" w:hanging="0"/>
        <w:jc w:val="both"/>
        <w:rPr>
          <w:b/>
          <w:b/>
        </w:rPr>
      </w:pPr>
      <w:r>
        <w:rPr>
          <w:color w:val="000000"/>
        </w:rPr>
        <w:tab/>
        <w:tab/>
        <w:tab/>
      </w:r>
      <w:r>
        <w:rPr>
          <w:b/>
        </w:rPr>
        <w:t>Lucimar Figueira Ribeiro  – Matricula 299064 – Fiscal Titular</w:t>
      </w:r>
    </w:p>
    <w:p>
      <w:pPr>
        <w:pStyle w:val="Normal"/>
        <w:spacing w:lineRule="auto" w:line="480"/>
        <w:ind w:left="705" w:hanging="0"/>
        <w:jc w:val="both"/>
        <w:rPr>
          <w:b/>
          <w:b/>
        </w:rPr>
      </w:pPr>
      <w:r>
        <w:rPr>
          <w:b/>
        </w:rPr>
        <w:tab/>
        <w:tab/>
        <w:tab/>
        <w:t>Karla Herdy Almeida – Matricula 299089 – Fiscal Substituto</w:t>
      </w:r>
    </w:p>
    <w:p>
      <w:pPr>
        <w:pStyle w:val="Normal"/>
        <w:spacing w:lineRule="auto" w:line="480"/>
        <w:ind w:left="705" w:hanging="0"/>
        <w:jc w:val="both"/>
        <w:rPr>
          <w:b/>
          <w:b/>
          <w:color w:val="000000"/>
        </w:rPr>
      </w:pPr>
      <w:r>
        <w:rPr>
          <w:b/>
          <w:color w:val="000000"/>
        </w:rPr>
      </w:r>
    </w:p>
    <w:p>
      <w:pPr>
        <w:pStyle w:val="Normal"/>
        <w:spacing w:lineRule="auto" w:line="480"/>
        <w:ind w:left="705" w:hanging="0"/>
        <w:jc w:val="both"/>
        <w:rPr/>
      </w:pPr>
      <w:r>
        <w:rPr>
          <w:color w:val="000000"/>
        </w:rPr>
        <w:t>18.3.  O fiscal do contato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encaminhado os apontamentos à autoridade competente para as providências cabíveis.</w:t>
      </w:r>
    </w:p>
    <w:p>
      <w:pPr>
        <w:pStyle w:val="Normal"/>
        <w:spacing w:lineRule="auto" w:line="480"/>
        <w:ind w:left="705" w:hanging="0"/>
        <w:jc w:val="both"/>
        <w:rPr>
          <w:color w:val="000000"/>
        </w:rPr>
      </w:pPr>
      <w:r>
        <w:rPr>
          <w:color w:val="000000"/>
        </w:rPr>
        <w:t>18.4. O fiscal designado pela Contratante deverá ter a experiência necessária para o acompanhamento e controle da execução dos serviços e do contrato.</w:t>
      </w:r>
    </w:p>
    <w:p>
      <w:pPr>
        <w:pStyle w:val="Normal"/>
        <w:spacing w:lineRule="auto" w:line="480"/>
        <w:ind w:left="705" w:hanging="0"/>
        <w:jc w:val="both"/>
        <w:rPr>
          <w:color w:val="000000"/>
        </w:rPr>
      </w:pPr>
      <w:r>
        <w:rPr>
          <w:color w:val="000000"/>
        </w:rPr>
        <w:t>18.5. A verificação da adequação da prestação do serviço deverá ser realizada com base nos critérios previstos neste Termo de Referência.</w:t>
      </w:r>
    </w:p>
    <w:p>
      <w:pPr>
        <w:pStyle w:val="Normal"/>
        <w:spacing w:lineRule="auto" w:line="480"/>
        <w:ind w:left="705" w:hanging="0"/>
        <w:jc w:val="both"/>
        <w:rPr>
          <w:color w:val="000000"/>
        </w:rPr>
      </w:pPr>
      <w:r>
        <w:rPr>
          <w:color w:val="000000"/>
        </w:rPr>
        <w:t>18.6.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art.70 da Lei nº. 8.666, de 1993.</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19-</w:t>
      </w:r>
      <w:r>
        <w:rPr>
          <w:color w:val="000000"/>
          <w:u w:val="single"/>
        </w:rPr>
        <w:t>DA RESPONSABILIDADE TÉCNICA PELA ELABORAÇÃO DO PRESENTE TERMO</w:t>
      </w:r>
    </w:p>
    <w:p>
      <w:pPr>
        <w:pStyle w:val="Normal"/>
        <w:spacing w:lineRule="auto" w:line="480"/>
        <w:ind w:firstLine="708"/>
        <w:jc w:val="both"/>
        <w:rPr>
          <w:color w:val="000000"/>
        </w:rPr>
      </w:pPr>
      <w:r>
        <w:rPr>
          <w:color w:val="000000"/>
        </w:rPr>
        <w:t>19.1. O presente documento foi elaborado em conjunto com os responsáveis técnicos dos setores requisitantes, que se responsabilizem por todas as informações e exigências técnicas aqui apresentadas.</w:t>
      </w:r>
    </w:p>
    <w:p>
      <w:pPr>
        <w:pStyle w:val="Normal"/>
        <w:spacing w:lineRule="auto" w:line="480"/>
        <w:jc w:val="both"/>
        <w:rPr>
          <w:color w:val="000000"/>
        </w:rPr>
      </w:pPr>
      <w:r>
        <w:rPr>
          <w:color w:val="000000"/>
        </w:rPr>
      </w:r>
    </w:p>
    <w:p>
      <w:pPr>
        <w:pStyle w:val="Normal"/>
        <w:spacing w:lineRule="auto" w:line="480"/>
        <w:jc w:val="both"/>
        <w:rPr>
          <w:color w:val="000000"/>
          <w:u w:val="single"/>
        </w:rPr>
      </w:pPr>
      <w:r>
        <w:rPr>
          <w:color w:val="000000"/>
        </w:rPr>
        <w:t>20-</w:t>
      </w:r>
      <w:r>
        <w:rPr>
          <w:color w:val="000000"/>
          <w:u w:val="single"/>
        </w:rPr>
        <w:t>DAS SANÇÕES ADMINISTRATIVAS</w:t>
      </w:r>
    </w:p>
    <w:p>
      <w:pPr>
        <w:pStyle w:val="Normal"/>
        <w:shd w:val="clear" w:fill="FFFFFF"/>
        <w:spacing w:lineRule="auto" w:line="360"/>
        <w:ind w:left="851" w:right="0" w:hanging="0"/>
        <w:jc w:val="both"/>
        <w:rPr/>
      </w:pPr>
      <w:r>
        <w:rPr/>
        <w:t xml:space="preserve">O descumprimento, por parte da CONTRATADA, das obrigações assumidas no Presente Termo de Referência, ou o descumprimento dos preceitos legais pertinentes, ensejará a aplicação das sanções previstas na lei 8.666/93. </w:t>
      </w:r>
    </w:p>
    <w:p>
      <w:pPr>
        <w:pStyle w:val="Normal"/>
        <w:shd w:val="clear" w:fill="FFFFFF"/>
        <w:spacing w:lineRule="auto" w:line="360"/>
        <w:ind w:left="851" w:right="0" w:hanging="0"/>
        <w:jc w:val="both"/>
        <w:rPr/>
      </w:pPr>
      <w:r>
        <w:rPr/>
      </w:r>
    </w:p>
    <w:p>
      <w:pPr>
        <w:pStyle w:val="Normal"/>
        <w:shd w:val="clear" w:fill="FFFFFF"/>
        <w:spacing w:lineRule="auto" w:line="360"/>
        <w:ind w:left="851" w:right="0" w:hanging="0"/>
        <w:jc w:val="both"/>
        <w:rPr/>
      </w:pPr>
      <w:r>
        <w:rPr/>
        <w:t>20.1 – Comete infração administrativa:</w:t>
      </w:r>
    </w:p>
    <w:p>
      <w:pPr>
        <w:pStyle w:val="Normal"/>
        <w:shd w:val="clear" w:fill="FFFFFF"/>
        <w:spacing w:lineRule="auto" w:line="360"/>
        <w:ind w:left="851" w:right="0" w:firstLine="565"/>
        <w:jc w:val="both"/>
        <w:rPr/>
      </w:pPr>
      <w:r>
        <w:rPr/>
        <w:t>20.1.1 – Não assinar o termo de contrato ou aceitar/retirar o instrumento equivalente, quando convocado dentro do prazo de validade da proposta;</w:t>
      </w:r>
    </w:p>
    <w:p>
      <w:pPr>
        <w:pStyle w:val="Normal"/>
        <w:shd w:val="clear" w:fill="FFFFFF"/>
        <w:spacing w:lineRule="auto" w:line="360"/>
        <w:ind w:left="851" w:right="0" w:firstLine="565"/>
        <w:jc w:val="both"/>
        <w:rPr/>
      </w:pPr>
      <w:r>
        <w:rPr/>
        <w:t>20.1.2 – Apresentar documentação falsa;</w:t>
      </w:r>
    </w:p>
    <w:p>
      <w:pPr>
        <w:pStyle w:val="Normal"/>
        <w:shd w:val="clear" w:fill="FFFFFF"/>
        <w:spacing w:lineRule="auto" w:line="360"/>
        <w:ind w:left="851" w:right="0" w:firstLine="565"/>
        <w:jc w:val="both"/>
        <w:rPr/>
      </w:pPr>
      <w:r>
        <w:rPr/>
        <w:t>20.1.3 – Deixar de entregar os documentos exigidos no certame;</w:t>
      </w:r>
    </w:p>
    <w:p>
      <w:pPr>
        <w:pStyle w:val="Normal"/>
        <w:shd w:val="clear" w:fill="FFFFFF"/>
        <w:spacing w:lineRule="auto" w:line="360"/>
        <w:ind w:left="851" w:right="0" w:firstLine="565"/>
        <w:jc w:val="both"/>
        <w:rPr/>
      </w:pPr>
      <w:r>
        <w:rPr/>
        <w:t>20.1.4 – Ensejar o retardamento da execução do objeto;</w:t>
      </w:r>
    </w:p>
    <w:p>
      <w:pPr>
        <w:pStyle w:val="Normal"/>
        <w:shd w:val="clear" w:fill="FFFFFF"/>
        <w:spacing w:lineRule="auto" w:line="360"/>
        <w:ind w:left="851" w:right="0" w:firstLine="565"/>
        <w:jc w:val="both"/>
        <w:rPr/>
      </w:pPr>
      <w:r>
        <w:rPr/>
        <w:t>20.1.5 – Não mantiver a proposta;</w:t>
      </w:r>
    </w:p>
    <w:p>
      <w:pPr>
        <w:pStyle w:val="Normal"/>
        <w:shd w:val="clear" w:fill="FFFFFF"/>
        <w:spacing w:lineRule="auto" w:line="360"/>
        <w:ind w:left="851" w:right="0" w:firstLine="565"/>
        <w:jc w:val="both"/>
        <w:rPr/>
      </w:pPr>
      <w:r>
        <w:rPr/>
        <w:t>20.1.6 – Cometer fraude fiscal;</w:t>
      </w:r>
    </w:p>
    <w:p>
      <w:pPr>
        <w:pStyle w:val="Normal"/>
        <w:shd w:val="clear" w:fill="FFFFFF"/>
        <w:spacing w:lineRule="auto" w:line="360"/>
        <w:ind w:left="851" w:right="0" w:firstLine="565"/>
        <w:jc w:val="both"/>
        <w:rPr/>
      </w:pPr>
      <w:r>
        <w:rPr/>
        <w:t>20.1.7 – comportar-se de modo inidôneo;</w:t>
      </w:r>
    </w:p>
    <w:p>
      <w:pPr>
        <w:pStyle w:val="Normal"/>
        <w:shd w:val="clear" w:fill="FFFFFF"/>
        <w:spacing w:lineRule="auto" w:line="360"/>
        <w:ind w:left="851" w:right="0" w:hanging="0"/>
        <w:jc w:val="both"/>
        <w:rPr/>
      </w:pPr>
      <w:r>
        <w:rPr/>
      </w:r>
    </w:p>
    <w:p>
      <w:pPr>
        <w:pStyle w:val="Normal"/>
        <w:shd w:val="clear" w:fill="FFFFFF"/>
        <w:spacing w:lineRule="auto" w:line="360"/>
        <w:ind w:left="0" w:right="0" w:firstLine="708"/>
        <w:jc w:val="both"/>
        <w:rPr/>
      </w:pPr>
      <w:r>
        <w:rPr/>
        <w:t>20.2 – 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Normal"/>
        <w:shd w:val="clear" w:fill="FFFFFF"/>
        <w:spacing w:lineRule="auto" w:line="360"/>
        <w:ind w:left="851" w:right="0" w:hanging="0"/>
        <w:jc w:val="both"/>
        <w:rPr/>
      </w:pPr>
      <w:r>
        <w:rPr/>
      </w:r>
    </w:p>
    <w:p>
      <w:pPr>
        <w:pStyle w:val="Normal"/>
        <w:shd w:val="clear" w:fill="FFFFFF"/>
        <w:spacing w:lineRule="auto" w:line="360"/>
        <w:ind w:left="0" w:right="0" w:firstLine="708"/>
        <w:jc w:val="both"/>
        <w:rPr/>
      </w:pPr>
      <w:r>
        <w:rPr/>
        <w:t>20.3 – O licitante/adjudicatório que cometer quaisquer das infrações discriminadas no subitem anterior, ficará sujeito, sem prejuízo da responsabilidade civil e criminal, as seguintes sanções:</w:t>
      </w:r>
    </w:p>
    <w:p>
      <w:pPr>
        <w:pStyle w:val="Normal"/>
        <w:shd w:val="clear" w:fill="FFFFFF"/>
        <w:spacing w:lineRule="auto" w:line="360"/>
        <w:ind w:left="851" w:right="0" w:firstLine="565"/>
        <w:jc w:val="both"/>
        <w:rPr/>
      </w:pPr>
      <w:r>
        <w:rPr/>
        <w:t>20.3.1 – Multa de até 10% (dez por cento) sobre o valor estimado do(s) iten(s) prejudicado(s) pela conduta do licitante;</w:t>
      </w:r>
    </w:p>
    <w:p>
      <w:pPr>
        <w:pStyle w:val="Normal"/>
        <w:shd w:val="clear" w:fill="FFFFFF"/>
        <w:spacing w:lineRule="auto" w:line="360"/>
        <w:ind w:left="851" w:right="0" w:firstLine="565"/>
        <w:jc w:val="both"/>
        <w:rPr/>
      </w:pPr>
      <w:r>
        <w:rPr/>
        <w:t>20.3.2 – impedimento de licitar e de contratar com o Município e descredenciamento pelo prazo de até cinco anos;</w:t>
      </w:r>
    </w:p>
    <w:p>
      <w:pPr>
        <w:pStyle w:val="Normal"/>
        <w:shd w:val="clear" w:fill="FFFFFF"/>
        <w:spacing w:lineRule="auto" w:line="360"/>
        <w:ind w:left="851" w:right="0" w:firstLine="565"/>
        <w:jc w:val="both"/>
        <w:rPr/>
      </w:pPr>
      <w:r>
        <w:rPr/>
        <w:t>20.4 – A penalidade de multa pode ser aplicada cumulativamente com a sanção de impedimento.</w:t>
      </w:r>
    </w:p>
    <w:p>
      <w:pPr>
        <w:pStyle w:val="Normal"/>
        <w:shd w:val="clear" w:fill="FFFFFF"/>
        <w:spacing w:lineRule="auto" w:line="360"/>
        <w:ind w:left="851" w:right="0" w:firstLine="565"/>
        <w:jc w:val="both"/>
        <w:rPr/>
      </w:pPr>
      <w:r>
        <w:rPr/>
        <w:t>20.5 – A aplicação de quaisquer das penalidades previstas realizar-se–á em processo administrativo que assegurará o contraditório e a ampla defesa ao licitante/adjudicatário, observando-se o procedimento previsto na Lei n.º 8.666/93, e subsidiariamente na lei n.º 9.784/99.</w:t>
      </w:r>
    </w:p>
    <w:p>
      <w:pPr>
        <w:pStyle w:val="Normal"/>
        <w:shd w:val="clear" w:fill="FFFFFF"/>
        <w:spacing w:lineRule="auto" w:line="360"/>
        <w:ind w:left="851" w:right="0" w:firstLine="565"/>
        <w:jc w:val="both"/>
        <w:rPr>
          <w:color w:val="000000"/>
        </w:rPr>
      </w:pPr>
      <w:r>
        <w:rPr>
          <w:color w:val="000000"/>
        </w:rPr>
        <w:t>20.6 – A autoridade competente, na aplicação das sanções, levará em consideração a gravidade da conduta do infrator, o caráter educativo da pena, bem como, o dano causado à administração, observado o princípio da proporcionalidade.</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21-</w:t>
      </w:r>
      <w:r>
        <w:rPr>
          <w:color w:val="000000"/>
          <w:u w:val="single"/>
        </w:rPr>
        <w:t>DA RESCISÃO</w:t>
      </w:r>
    </w:p>
    <w:p>
      <w:pPr>
        <w:pStyle w:val="Normal"/>
        <w:spacing w:lineRule="auto" w:line="480"/>
        <w:ind w:left="705" w:hanging="0"/>
        <w:jc w:val="both"/>
        <w:rPr>
          <w:color w:val="000000"/>
        </w:rPr>
      </w:pPr>
      <w:r>
        <w:rPr>
          <w:color w:val="000000"/>
        </w:rPr>
        <w:t>21.1. O inadimplemento de cláusula estabelecida neste Termo de Referência, bem como na legislação vigente, por parte do fornecedor, assegurará a Secretaria Municipal de Saúde de Nova Friburgo o direito de rescindi-la, mediante notificação, com prova de recebimento.</w:t>
      </w:r>
    </w:p>
    <w:p>
      <w:pPr>
        <w:pStyle w:val="Normal"/>
        <w:spacing w:lineRule="auto" w:line="480"/>
        <w:ind w:left="705" w:hanging="0"/>
        <w:jc w:val="both"/>
        <w:rPr>
          <w:color w:val="000000"/>
        </w:rPr>
      </w:pPr>
      <w:r>
        <w:rPr>
          <w:color w:val="000000"/>
        </w:rPr>
        <w:t>21.2. Além de outras hipóteses expressamente previstas no artigo 78 da Lei nº. 8.666/1993 constituem motivos para a rescisão do contrato:</w:t>
      </w:r>
    </w:p>
    <w:p>
      <w:pPr>
        <w:pStyle w:val="Normal"/>
        <w:spacing w:lineRule="auto" w:line="480"/>
        <w:ind w:left="1410" w:hanging="0"/>
        <w:jc w:val="both"/>
        <w:rPr>
          <w:color w:val="000000"/>
        </w:rPr>
      </w:pPr>
      <w:r>
        <w:rPr>
          <w:color w:val="000000"/>
        </w:rPr>
        <w:t>21.2.1. Atraso injustificado na prestação dos serviços, bem como a sua paralisação sem justa causa e prévia comunicação a Secretaria Municipal de Saúde.</w:t>
      </w:r>
    </w:p>
    <w:p>
      <w:pPr>
        <w:pStyle w:val="Normal"/>
        <w:spacing w:lineRule="auto" w:line="480"/>
        <w:ind w:left="1410" w:firstLine="6"/>
        <w:jc w:val="both"/>
        <w:rPr/>
      </w:pPr>
      <w:r>
        <w:rPr>
          <w:color w:val="000000"/>
        </w:rPr>
        <w:t>21.2.2. O cometimento reiterado de falhas, comprovadas por meio de registro próprio efetuado pelo representante da Secretaria Municipal de Saúde.</w:t>
      </w:r>
    </w:p>
    <w:p>
      <w:pPr>
        <w:pStyle w:val="Normal"/>
        <w:spacing w:lineRule="auto" w:line="480"/>
        <w:ind w:left="705" w:hanging="0"/>
        <w:jc w:val="both"/>
        <w:rPr>
          <w:color w:val="000000"/>
        </w:rPr>
      </w:pPr>
      <w:r>
        <w:rPr>
          <w:color w:val="000000"/>
        </w:rPr>
        <w:t>21.3. Ao Município de Nova Friburgo é reconhecido o direito de rescisão administrativa, nos termos do artigo 79, inciso I, da Lei nº. 8.666/93, aplicando-se, no que couber, as disposições dos parágrafos primeiro e o segundo do mesmo artigo, bem como as do artigo 80.</w:t>
      </w:r>
    </w:p>
    <w:p>
      <w:pPr>
        <w:pStyle w:val="Normal"/>
        <w:spacing w:lineRule="auto" w:line="480"/>
        <w:ind w:left="705" w:hanging="0"/>
        <w:jc w:val="both"/>
        <w:rPr>
          <w:color w:val="000000"/>
        </w:rPr>
      </w:pPr>
      <w:r>
        <w:rPr>
          <w:color w:val="000000"/>
        </w:rPr>
      </w:r>
    </w:p>
    <w:p>
      <w:pPr>
        <w:pStyle w:val="Normal"/>
        <w:spacing w:lineRule="auto" w:line="480"/>
        <w:rPr/>
      </w:pPr>
      <w:r>
        <w:rPr>
          <w:color w:val="000000"/>
        </w:rPr>
        <w:t xml:space="preserve">22- </w:t>
      </w:r>
      <w:r>
        <w:rPr>
          <w:color w:val="000000"/>
          <w:u w:val="single"/>
        </w:rPr>
        <w:t>DO FORO</w:t>
      </w:r>
    </w:p>
    <w:p>
      <w:pPr>
        <w:pStyle w:val="Normal"/>
        <w:spacing w:lineRule="auto" w:line="480"/>
        <w:rPr>
          <w:color w:val="000000"/>
          <w:u w:val="single"/>
        </w:rPr>
      </w:pPr>
      <w:r>
        <w:rPr>
          <w:color w:val="000000"/>
          <w:u w:val="single"/>
        </w:rPr>
      </w:r>
    </w:p>
    <w:p>
      <w:pPr>
        <w:pStyle w:val="Normal"/>
        <w:spacing w:lineRule="auto" w:line="480"/>
        <w:ind w:left="705" w:hanging="0"/>
        <w:rPr/>
      </w:pPr>
      <w:r>
        <w:rPr>
          <w:color w:val="000000"/>
        </w:rPr>
        <w:t>22.1. Fica eleito o Foro Municipal da Comarca de Nova Friburgo/RJ com exclusão de qualquer outro, por mais privilegiado que seja para dirimir quaisquer dúvidas ou controvérsias oriundas do certame, que não puderem ser solucionados administrativamente</w:t>
      </w:r>
    </w:p>
    <w:p>
      <w:pPr>
        <w:pStyle w:val="Normal"/>
        <w:spacing w:lineRule="auto" w:line="480"/>
        <w:ind w:left="705" w:hanging="0"/>
        <w:rPr>
          <w:color w:val="000000"/>
        </w:rPr>
      </w:pPr>
      <w:r>
        <w:rPr>
          <w:color w:val="000000"/>
        </w:rPr>
      </w:r>
    </w:p>
    <w:p>
      <w:pPr>
        <w:pStyle w:val="Normal"/>
        <w:widowControl/>
        <w:numPr>
          <w:ilvl w:val="0"/>
          <w:numId w:val="0"/>
        </w:numPr>
        <w:shd w:val="clear" w:fill="FFFFFF"/>
        <w:suppressAutoHyphens w:val="true"/>
        <w:bidi w:val="0"/>
        <w:spacing w:lineRule="auto" w:line="480" w:before="0" w:after="0"/>
        <w:ind w:left="708" w:right="0" w:firstLine="3"/>
        <w:contextualSpacing/>
        <w:jc w:val="both"/>
        <w:rPr>
          <w:b/>
          <w:b/>
          <w:bCs/>
        </w:rPr>
      </w:pPr>
      <w:r>
        <w:rPr>
          <w:rFonts w:cs="Times New Roman"/>
          <w:b/>
          <w:bCs/>
          <w:color w:val="000000"/>
          <w:sz w:val="24"/>
          <w:szCs w:val="24"/>
        </w:rPr>
        <w:t>Termo de Referência elaborado pelo servidor abaixo consoante requisição enviada pelo Nosocômio, cabendo tão somente ao subscritor a elaboração do presente Termo uma vez que não possui conhecimento técnico sobre a especificidade dos serviços a serem realizados da contratação em apreço, sendo tal ônus da Unidade Requisitante.</w:t>
      </w:r>
    </w:p>
    <w:p>
      <w:pPr>
        <w:pStyle w:val="Normal"/>
        <w:widowControl/>
        <w:numPr>
          <w:ilvl w:val="0"/>
          <w:numId w:val="0"/>
        </w:numPr>
        <w:shd w:val="clear" w:fill="FFFFFF"/>
        <w:suppressAutoHyphens w:val="true"/>
        <w:bidi w:val="0"/>
        <w:spacing w:lineRule="auto" w:line="480" w:before="0" w:after="0"/>
        <w:ind w:left="708" w:right="0" w:firstLine="3"/>
        <w:contextualSpacing/>
        <w:jc w:val="both"/>
        <w:rPr>
          <w:color w:val="000000"/>
        </w:rPr>
      </w:pPr>
      <w:r>
        <w:rPr>
          <w:color w:val="000000"/>
        </w:rPr>
      </w:r>
    </w:p>
    <w:p>
      <w:pPr>
        <w:pStyle w:val="Normal"/>
        <w:spacing w:lineRule="auto" w:line="480"/>
        <w:ind w:left="705" w:hanging="0"/>
        <w:jc w:val="right"/>
        <w:rPr>
          <w:color w:val="000000"/>
        </w:rPr>
      </w:pPr>
      <w:r>
        <w:rPr>
          <w:color w:val="000000"/>
        </w:rPr>
      </w:r>
    </w:p>
    <w:p>
      <w:pPr>
        <w:pStyle w:val="Normal"/>
        <w:spacing w:lineRule="auto" w:line="480"/>
        <w:ind w:left="705" w:hanging="0"/>
        <w:jc w:val="right"/>
        <w:rPr/>
      </w:pPr>
      <w:r>
        <w:rPr>
          <w:color w:val="000000"/>
        </w:rPr>
        <w:t xml:space="preserve"> </w:t>
      </w:r>
      <w:r>
        <w:rPr>
          <w:color w:val="000000"/>
        </w:rPr>
        <w:t>Nova Friburgo, 25 de maio de 2020</w:t>
      </w:r>
    </w:p>
    <w:p>
      <w:pPr>
        <w:pStyle w:val="Normal"/>
        <w:spacing w:lineRule="auto" w:line="480"/>
        <w:jc w:val="right"/>
        <w:rPr>
          <w:color w:val="000000"/>
        </w:rPr>
      </w:pPr>
      <w:r>
        <w:rPr>
          <w:color w:val="000000"/>
        </w:rPr>
      </w:r>
    </w:p>
    <w:p>
      <w:pPr>
        <w:pStyle w:val="Normal"/>
        <w:spacing w:lineRule="auto" w:line="480"/>
        <w:jc w:val="right"/>
        <w:rPr>
          <w:color w:val="000000"/>
        </w:rPr>
      </w:pPr>
      <w:r>
        <w:rPr>
          <w:color w:val="000000"/>
        </w:rPr>
      </w:r>
    </w:p>
    <w:p>
      <w:pPr>
        <w:pStyle w:val="Normal"/>
        <w:spacing w:lineRule="auto" w:line="480"/>
        <w:jc w:val="right"/>
        <w:rPr>
          <w:color w:val="000000"/>
        </w:rPr>
      </w:pPr>
      <w:r>
        <w:rPr>
          <w:color w:val="000000"/>
        </w:rPr>
      </w:r>
    </w:p>
    <w:p>
      <w:pPr>
        <w:pStyle w:val="Normal"/>
        <w:jc w:val="center"/>
        <w:rPr>
          <w:color w:val="000000"/>
        </w:rPr>
      </w:pPr>
      <w:r>
        <w:rPr>
          <w:color w:val="000000"/>
        </w:rPr>
        <w:t>Rafael Durans Barros</w:t>
      </w:r>
    </w:p>
    <w:p>
      <w:pPr>
        <w:pStyle w:val="Normal"/>
        <w:jc w:val="center"/>
        <w:rPr>
          <w:color w:val="000000"/>
        </w:rPr>
      </w:pPr>
      <w:r>
        <w:rPr>
          <w:color w:val="000000"/>
        </w:rPr>
        <w:t>Secretaria de Saúde</w:t>
      </w:r>
    </w:p>
    <w:p>
      <w:pPr>
        <w:pStyle w:val="Normal"/>
        <w:jc w:val="center"/>
        <w:rPr/>
      </w:pPr>
      <w:r>
        <w:rPr>
          <w:color w:val="000000"/>
        </w:rPr>
        <w:t>Mat. 200.1021</w:t>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right"/>
        <w:rPr/>
      </w:pPr>
      <w:r>
        <w:rPr>
          <w:color w:val="000000"/>
        </w:rPr>
        <w:t>Marcelo Braune</w:t>
      </w:r>
    </w:p>
    <w:p>
      <w:pPr>
        <w:pStyle w:val="Normal"/>
        <w:jc w:val="right"/>
        <w:rPr/>
      </w:pPr>
      <w:r>
        <w:rPr>
          <w:color w:val="000000"/>
        </w:rPr>
        <w:t>Secretário de Saúde</w:t>
      </w:r>
    </w:p>
    <w:p>
      <w:pPr>
        <w:pStyle w:val="Normal"/>
        <w:jc w:val="right"/>
        <w:rPr/>
      </w:pPr>
      <w:r>
        <w:rPr>
          <w:color w:val="000000"/>
        </w:rPr>
        <w:t>Matrícula: 200.0001</w:t>
      </w:r>
    </w:p>
    <w:sectPr>
      <w:headerReference w:type="default" r:id="rId2"/>
      <w:footerReference w:type="default" r:id="rId3"/>
      <w:type w:val="nextPage"/>
      <w:pgSz w:w="12240" w:h="15840"/>
      <w:pgMar w:left="1191" w:right="1077" w:header="425" w:top="1440" w:footer="125" w:bottom="182"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Monotype Corsiva">
    <w:charset w:val="00"/>
    <w:family w:val="roman"/>
    <w:pitch w:val="variable"/>
  </w:font>
  <w:font w:name="Comic Sans MS">
    <w:charset w:val="00"/>
    <w:family w:val="roman"/>
    <w:pitch w:val="variable"/>
  </w:font>
  <w:font w:name="Cambria">
    <w:charset w:val="00"/>
    <w:family w:val="roman"/>
    <w:pitch w:val="variable"/>
  </w:font>
  <w:font w:name="Liberation Sans">
    <w:altName w:val="Arial"/>
    <w:charset w:val="00"/>
    <w:family w:val="roman"/>
    <w:pitch w:val="variable"/>
  </w:font>
  <w:font w:name="Book Antiqu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sz w:val="20"/>
        <w:szCs w:val="20"/>
      </w:rPr>
    </w:pPr>
    <w:r>
      <w:rPr>
        <w:rFonts w:ascii="Calibri" w:hAnsi="Calibri"/>
        <w:sz w:val="20"/>
        <w:szCs w:val="20"/>
      </w:rPr>
    </w:r>
  </w:p>
  <w:p>
    <w:pPr>
      <w:pStyle w:val="Rodap"/>
      <w:jc w:val="center"/>
      <w:rPr>
        <w:rFonts w:ascii="Calibri" w:hAnsi="Calibri"/>
        <w:sz w:val="20"/>
        <w:szCs w:val="20"/>
      </w:rPr>
    </w:pPr>
    <w:r>
      <w:rPr>
        <w:rFonts w:ascii="Calibri" w:hAnsi="Calibri"/>
        <w:sz w:val="20"/>
        <w:szCs w:val="20"/>
      </w:rPr>
      <w:t>_________________________________________________________________________________________</w:t>
    </w:r>
  </w:p>
  <w:p>
    <w:pPr>
      <w:pStyle w:val="Rodap"/>
      <w:jc w:val="center"/>
      <w:rPr>
        <w:rFonts w:ascii="Calibri" w:hAnsi="Calibri"/>
        <w:sz w:val="20"/>
        <w:szCs w:val="20"/>
      </w:rPr>
    </w:pPr>
    <w:r>
      <w:rPr>
        <w:rFonts w:ascii="Calibri" w:hAnsi="Calibri"/>
        <w:sz w:val="20"/>
        <w:szCs w:val="20"/>
      </w:rPr>
      <w:t>Av. Alberto Braune, nº 224 – 2º Andar – Tel. 2522-0661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419"/>
        <w:tab w:val="clear" w:pos="8838"/>
        <w:tab w:val="left" w:pos="5070" w:leader="none"/>
      </w:tabs>
      <w:ind w:right="-232" w:hanging="0"/>
      <w:rPr/>
    </w:pPr>
    <w:r>
      <mc:AlternateContent>
        <mc:Choice Requires="wps">
          <w:drawing>
            <wp:anchor behindDoc="1" distT="0" distB="0" distL="114300" distR="114300" simplePos="0" locked="0" layoutInCell="1" allowOverlap="1" relativeHeight="14">
              <wp:simplePos x="0" y="0"/>
              <wp:positionH relativeFrom="page">
                <wp:posOffset>4544060</wp:posOffset>
              </wp:positionH>
              <wp:positionV relativeFrom="page">
                <wp:posOffset>476885</wp:posOffset>
              </wp:positionV>
              <wp:extent cx="16510" cy="174625"/>
              <wp:effectExtent l="0" t="0" r="0" b="0"/>
              <wp:wrapSquare wrapText="largest"/>
              <wp:docPr id="1" name="Quadro1"/>
              <a:graphic xmlns:a="http://schemas.openxmlformats.org/drawingml/2006/main">
                <a:graphicData uri="http://schemas.microsoft.com/office/word/2010/wordprocessingShape">
                  <wps:wsp>
                    <wps:cNvSpPr/>
                    <wps:spPr>
                      <a:xfrm>
                        <a:off x="0" y="0"/>
                        <a:ext cx="15840" cy="173880"/>
                      </a:xfrm>
                      <a:prstGeom prst="rect">
                        <a:avLst/>
                      </a:prstGeom>
                      <a:noFill/>
                      <a:ln>
                        <a:noFill/>
                      </a:ln>
                    </wps:spPr>
                    <wps:style>
                      <a:lnRef idx="0"/>
                      <a:fillRef idx="0"/>
                      <a:effectRef idx="0"/>
                      <a:fontRef idx="minor"/>
                    </wps:style>
                    <wps:txbx>
                      <w:txbxContent>
                        <w:p>
                          <w:pPr>
                            <w:pStyle w:val="Normal"/>
                            <w:rPr>
                              <w:color w:val="000000"/>
                            </w:rPr>
                          </w:pPr>
                          <w:r>
                            <w:rPr>
                              <w:color w:val="000000"/>
                            </w:rPr>
                          </w:r>
                        </w:p>
                      </w:txbxContent>
                    </wps:txbx>
                    <wps:bodyPr lIns="0" rIns="0" tIns="0" bIns="0">
                      <a:spAutoFit/>
                    </wps:bodyPr>
                  </wps:wsp>
                </a:graphicData>
              </a:graphic>
            </wp:anchor>
          </w:drawing>
        </mc:Choice>
        <mc:Fallback>
          <w:pict>
            <v:rect id="shape_0" ID="Quadro1" stroked="f" style="position:absolute;margin-left:357.8pt;margin-top:37.55pt;width:1.2pt;height:13.65pt;mso-position-horizontal-relative:page;mso-position-vertical-relative:page">
              <w10:wrap type="none"/>
              <v:fill o:detectmouseclick="t" on="false"/>
              <v:stroke color="#3465a4" joinstyle="round" endcap="flat"/>
              <v:textbox>
                <w:txbxContent>
                  <w:p>
                    <w:pPr>
                      <w:pStyle w:val="Normal"/>
                      <w:rPr>
                        <w:color w:val="000000"/>
                      </w:rPr>
                    </w:pPr>
                    <w:r>
                      <w:rPr>
                        <w:color w:val="000000"/>
                      </w:rPr>
                    </w:r>
                  </w:p>
                </w:txbxContent>
              </v:textbox>
            </v:rect>
          </w:pict>
        </mc:Fallback>
      </mc:AlternateContent>
    </w:r>
    <w:r>
      <w:rPr/>
      <w:t xml:space="preserve">    </w:t>
    </w:r>
    <w:r>
      <w:rPr/>
      <w:drawing>
        <wp:inline distT="0" distB="0" distL="0" distR="0">
          <wp:extent cx="2028825" cy="683895"/>
          <wp:effectExtent l="0" t="0" r="0" b="0"/>
          <wp:docPr id="3" name="Imagem 2" descr="\\JUBA3\Redirecionamento de Pasta\waleska.ornellas\Desktop\PMNF_logo_atualizada_ag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JUBA3\Redirecionamento de Pasta\waleska.ornellas\Desktop\PMNF_logo_atualizada_ago_2017.jpg"/>
                  <pic:cNvPicPr>
                    <a:picLocks noChangeAspect="1" noChangeArrowheads="1"/>
                  </pic:cNvPicPr>
                </pic:nvPicPr>
                <pic:blipFill>
                  <a:blip r:embed="rId1"/>
                  <a:stretch>
                    <a:fillRect/>
                  </a:stretch>
                </pic:blipFill>
                <pic:spPr bwMode="auto">
                  <a:xfrm>
                    <a:off x="0" y="0"/>
                    <a:ext cx="2028825" cy="683895"/>
                  </a:xfrm>
                  <a:prstGeom prst="rect">
                    <a:avLst/>
                  </a:prstGeom>
                </pic:spPr>
              </pic:pic>
            </a:graphicData>
          </a:graphic>
        </wp:inline>
      </w:drawing>
    </w:r>
    <w:r>
      <w:rPr/>
      <w:t xml:space="preserve">           </w:t>
    </w:r>
    <w:r>
      <w:rPr/>
      <w:drawing>
        <wp:inline distT="0" distB="0" distL="0" distR="0">
          <wp:extent cx="619125" cy="571500"/>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2"/>
                  <a:stretch>
                    <a:fillRect/>
                  </a:stretch>
                </pic:blipFill>
                <pic:spPr bwMode="auto">
                  <a:xfrm>
                    <a:off x="0" y="0"/>
                    <a:ext cx="619125" cy="571500"/>
                  </a:xfrm>
                  <a:prstGeom prst="rect">
                    <a:avLst/>
                  </a:prstGeom>
                </pic:spPr>
              </pic:pic>
            </a:graphicData>
          </a:graphic>
        </wp:inline>
      </w:drawing>
    </w:r>
    <w:r>
      <w:rPr/>
      <w:t xml:space="preserve">                </w:t>
    </w:r>
    <w:r>
      <w:rPr/>
      <w:drawing>
        <wp:inline distT="0" distB="0" distL="0" distR="0">
          <wp:extent cx="742950" cy="76200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3"/>
                  <a:stretch>
                    <a:fillRect/>
                  </a:stretch>
                </pic:blipFill>
                <pic:spPr bwMode="auto">
                  <a:xfrm>
                    <a:off x="0" y="0"/>
                    <a:ext cx="742950" cy="762000"/>
                  </a:xfrm>
                  <a:prstGeom prst="rect">
                    <a:avLst/>
                  </a:prstGeom>
                </pic:spPr>
              </pic:pic>
            </a:graphicData>
          </a:graphic>
        </wp:inline>
      </w:drawing>
    </w:r>
    <w:r>
      <w:rPr/>
      <w:t xml:space="preserve">             </w:t>
    </w:r>
    <w:r>
      <w:rPr>
        <w:sz w:val="18"/>
        <w:szCs w:val="18"/>
      </w:rPr>
      <w:t xml:space="preserve">Processo nº. 9147/18   </w:t>
    </w:r>
  </w:p>
  <w:p>
    <w:pPr>
      <w:pStyle w:val="Cabealho"/>
      <w:tabs>
        <w:tab w:val="clear" w:pos="4419"/>
        <w:tab w:val="clear" w:pos="8838"/>
        <w:tab w:val="left" w:pos="5070" w:leader="none"/>
      </w:tabs>
      <w:ind w:right="-232" w:hanging="0"/>
      <w:rPr/>
    </w:pPr>
    <w:r>
      <w:rPr>
        <w:sz w:val="18"/>
        <w:szCs w:val="18"/>
      </w:rPr>
      <w:tab/>
      <w:tab/>
      <w:tab/>
      <w:tab/>
      <w:tab/>
      <w:t xml:space="preserve">              Folha nº.  </w:t>
      <w:tab/>
    </w:r>
  </w:p>
  <w:p>
    <w:pPr>
      <w:pStyle w:val="Cabealho"/>
      <w:pBdr>
        <w:bottom w:val="single" w:sz="6" w:space="0" w:color="000000"/>
      </w:pBdr>
      <w:tabs>
        <w:tab w:val="left" w:pos="3405" w:leader="none"/>
        <w:tab w:val="center" w:pos="4419" w:leader="none"/>
        <w:tab w:val="right" w:pos="8838" w:leader="none"/>
      </w:tabs>
      <w:rPr>
        <w:sz w:val="18"/>
        <w:szCs w:val="18"/>
      </w:rPr>
    </w:pPr>
    <w:r>
      <w:rPr/>
      <w:tab/>
      <w:t xml:space="preserve">       </w:t>
      <w:tab/>
      <w:t xml:space="preserve">                                                                 </w:t>
    </w:r>
    <w:r>
      <w:rPr>
        <w:sz w:val="18"/>
        <w:szCs w:val="18"/>
      </w:rPr>
      <w:t xml:space="preserve">Rubrica: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70ce4"/>
    <w:pPr>
      <w:widowControl/>
      <w:bidi w:val="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rsid w:val="00870ce4"/>
    <w:pPr>
      <w:keepNext w:val="true"/>
      <w:spacing w:before="240" w:after="60"/>
      <w:outlineLvl w:val="0"/>
    </w:pPr>
    <w:rPr>
      <w:rFonts w:ascii="Arial" w:hAnsi="Arial" w:cs="Arial"/>
      <w:b/>
      <w:bCs/>
      <w:kern w:val="2"/>
      <w:sz w:val="32"/>
      <w:szCs w:val="32"/>
    </w:rPr>
  </w:style>
  <w:style w:type="paragraph" w:styleId="Ttulo2">
    <w:name w:val="Heading 2"/>
    <w:basedOn w:val="Normal"/>
    <w:next w:val="Normal"/>
    <w:qFormat/>
    <w:rsid w:val="00870ce4"/>
    <w:pPr>
      <w:keepNext w:val="true"/>
      <w:outlineLvl w:val="1"/>
    </w:pPr>
    <w:rPr>
      <w:rFonts w:ascii="Tahoma" w:hAnsi="Tahoma" w:cs="Tahoma"/>
      <w:b/>
      <w:bCs/>
    </w:rPr>
  </w:style>
  <w:style w:type="paragraph" w:styleId="Ttulo3">
    <w:name w:val="Heading 3"/>
    <w:basedOn w:val="Normal"/>
    <w:next w:val="Normal"/>
    <w:qFormat/>
    <w:rsid w:val="00870ce4"/>
    <w:pPr>
      <w:keepNext w:val="true"/>
      <w:jc w:val="center"/>
      <w:outlineLvl w:val="2"/>
    </w:pPr>
    <w:rPr>
      <w:rFonts w:ascii="Monotype Corsiva" w:hAnsi="Monotype Corsiva" w:cs="Arial"/>
      <w:b/>
      <w:bCs/>
      <w:sz w:val="28"/>
    </w:rPr>
  </w:style>
  <w:style w:type="paragraph" w:styleId="Ttulo4">
    <w:name w:val="Heading 4"/>
    <w:basedOn w:val="Normal"/>
    <w:next w:val="Normal"/>
    <w:qFormat/>
    <w:rsid w:val="00870ce4"/>
    <w:pPr>
      <w:keepNext w:val="true"/>
      <w:outlineLvl w:val="3"/>
    </w:pPr>
    <w:rPr>
      <w:rFonts w:ascii="Comic Sans MS" w:hAnsi="Comic Sans MS"/>
      <w:b/>
      <w:bCs/>
      <w:sz w:val="22"/>
      <w:szCs w:val="20"/>
    </w:rPr>
  </w:style>
  <w:style w:type="paragraph" w:styleId="Ttulo6">
    <w:name w:val="Heading 6"/>
    <w:basedOn w:val="Normal"/>
    <w:next w:val="Normal"/>
    <w:link w:val="Ttulo6Char"/>
    <w:semiHidden/>
    <w:unhideWhenUsed/>
    <w:qFormat/>
    <w:rsid w:val="00b2642f"/>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Ttulo7">
    <w:name w:val="Heading 7"/>
    <w:basedOn w:val="Normal"/>
    <w:next w:val="Normal"/>
    <w:link w:val="Ttulo7Char"/>
    <w:semiHidden/>
    <w:unhideWhenUsed/>
    <w:qFormat/>
    <w:rsid w:val="00bd0e2d"/>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Annotationreference">
    <w:name w:val="annotation reference"/>
    <w:semiHidden/>
    <w:qFormat/>
    <w:rsid w:val="00870ce4"/>
    <w:rPr>
      <w:sz w:val="16"/>
      <w:szCs w:val="16"/>
    </w:rPr>
  </w:style>
  <w:style w:type="character" w:styleId="TextodecomentrioChar" w:customStyle="1">
    <w:name w:val="Texto de comentário Char"/>
    <w:basedOn w:val="DefaultParagraphFont"/>
    <w:link w:val="Textodecomentrio"/>
    <w:qFormat/>
    <w:rsid w:val="00582aaa"/>
    <w:rPr/>
  </w:style>
  <w:style w:type="character" w:styleId="AssuntodocomentrioChar" w:customStyle="1">
    <w:name w:val="Assunto do comentário Char"/>
    <w:link w:val="Assuntodocomentrio"/>
    <w:qFormat/>
    <w:rsid w:val="00582aaa"/>
    <w:rPr>
      <w:b/>
      <w:bCs/>
    </w:rPr>
  </w:style>
  <w:style w:type="character" w:styleId="TextodebaloChar" w:customStyle="1">
    <w:name w:val="Texto de balão Char"/>
    <w:link w:val="Textodebalo"/>
    <w:qFormat/>
    <w:rsid w:val="00582aaa"/>
    <w:rPr>
      <w:rFonts w:ascii="Tahoma" w:hAnsi="Tahoma" w:cs="Tahoma"/>
      <w:sz w:val="16"/>
      <w:szCs w:val="16"/>
    </w:rPr>
  </w:style>
  <w:style w:type="character" w:styleId="CorpodetextoChar" w:customStyle="1">
    <w:name w:val="Corpo de texto Char"/>
    <w:link w:val="Corpodetexto"/>
    <w:qFormat/>
    <w:rsid w:val="0086734f"/>
    <w:rPr>
      <w:sz w:val="24"/>
      <w:szCs w:val="24"/>
    </w:rPr>
  </w:style>
  <w:style w:type="character" w:styleId="CabealhoChar" w:customStyle="1">
    <w:name w:val="Cabeçalho Char"/>
    <w:link w:val="Cabealho"/>
    <w:qFormat/>
    <w:rsid w:val="00766cc9"/>
    <w:rPr>
      <w:sz w:val="28"/>
    </w:rPr>
  </w:style>
  <w:style w:type="character" w:styleId="Ttulo7Char" w:customStyle="1">
    <w:name w:val="Título 7 Char"/>
    <w:basedOn w:val="DefaultParagraphFont"/>
    <w:link w:val="Ttulo7"/>
    <w:semiHidden/>
    <w:qFormat/>
    <w:rsid w:val="00bd0e2d"/>
    <w:rPr>
      <w:rFonts w:ascii="Cambria" w:hAnsi="Cambria" w:eastAsia="" w:cs="" w:asciiTheme="majorHAnsi" w:cstheme="majorBidi" w:eastAsiaTheme="majorEastAsia" w:hAnsiTheme="majorHAnsi"/>
      <w:i/>
      <w:iCs/>
      <w:color w:val="404040" w:themeColor="text1" w:themeTint="bf"/>
      <w:sz w:val="24"/>
      <w:szCs w:val="24"/>
    </w:rPr>
  </w:style>
  <w:style w:type="character" w:styleId="TtuloChar" w:customStyle="1">
    <w:name w:val="Título Char"/>
    <w:basedOn w:val="DefaultParagraphFont"/>
    <w:link w:val="Ttulo"/>
    <w:qFormat/>
    <w:rsid w:val="00bd0e2d"/>
    <w:rPr>
      <w:rFonts w:ascii="Arial" w:hAnsi="Arial"/>
      <w:i/>
      <w:sz w:val="24"/>
    </w:rPr>
  </w:style>
  <w:style w:type="character" w:styleId="Ttulo6Char" w:customStyle="1">
    <w:name w:val="Título 6 Char"/>
    <w:basedOn w:val="DefaultParagraphFont"/>
    <w:link w:val="Ttulo6"/>
    <w:semiHidden/>
    <w:qFormat/>
    <w:rsid w:val="00b2642f"/>
    <w:rPr>
      <w:rFonts w:ascii="Cambria" w:hAnsi="Cambria" w:eastAsia="" w:cs="" w:asciiTheme="majorHAnsi" w:cstheme="majorBidi" w:eastAsiaTheme="majorEastAsia" w:hAnsiTheme="majorHAnsi"/>
      <w:i/>
      <w:iCs/>
      <w:color w:val="243F60" w:themeColor="accent1" w:themeShade="7f"/>
      <w:sz w:val="24"/>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b/>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86734f"/>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rsid w:val="00870ce4"/>
    <w:pPr>
      <w:tabs>
        <w:tab w:val="clear" w:pos="708"/>
        <w:tab w:val="center" w:pos="4419" w:leader="none"/>
        <w:tab w:val="right" w:pos="8838" w:leader="none"/>
      </w:tabs>
    </w:pPr>
    <w:rPr>
      <w:sz w:val="28"/>
      <w:szCs w:val="20"/>
    </w:rPr>
  </w:style>
  <w:style w:type="paragraph" w:styleId="BodyText2">
    <w:name w:val="Body Text 2"/>
    <w:basedOn w:val="Normal"/>
    <w:qFormat/>
    <w:rsid w:val="00870ce4"/>
    <w:pPr>
      <w:jc w:val="both"/>
    </w:pPr>
    <w:rPr>
      <w:sz w:val="26"/>
    </w:rPr>
  </w:style>
  <w:style w:type="paragraph" w:styleId="Corpodotextorecuado">
    <w:name w:val="Body Text Indent"/>
    <w:basedOn w:val="Normal"/>
    <w:rsid w:val="00870ce4"/>
    <w:pPr>
      <w:ind w:firstLine="709"/>
      <w:jc w:val="both"/>
    </w:pPr>
    <w:rPr>
      <w:rFonts w:ascii="Book Antiqua" w:hAnsi="Book Antiqua" w:cs="Tahoma"/>
      <w:sz w:val="22"/>
    </w:rPr>
  </w:style>
  <w:style w:type="paragraph" w:styleId="BodyTextIndent2">
    <w:name w:val="Body Text Indent 2"/>
    <w:basedOn w:val="Normal"/>
    <w:qFormat/>
    <w:rsid w:val="00870ce4"/>
    <w:pPr>
      <w:suppressAutoHyphens w:val="true"/>
      <w:spacing w:lineRule="atLeast" w:line="240"/>
      <w:ind w:firstLine="720"/>
      <w:jc w:val="both"/>
    </w:pPr>
    <w:rPr>
      <w:rFonts w:ascii="Book Antiqua" w:hAnsi="Book Antiqua"/>
      <w:szCs w:val="22"/>
    </w:rPr>
  </w:style>
  <w:style w:type="paragraph" w:styleId="Rodap">
    <w:name w:val="Footer"/>
    <w:basedOn w:val="Normal"/>
    <w:rsid w:val="00870ce4"/>
    <w:pPr>
      <w:tabs>
        <w:tab w:val="clear" w:pos="708"/>
        <w:tab w:val="center" w:pos="4419" w:leader="none"/>
        <w:tab w:val="right" w:pos="8838" w:leader="none"/>
      </w:tabs>
    </w:pPr>
    <w:rPr/>
  </w:style>
  <w:style w:type="paragraph" w:styleId="NormalWeb">
    <w:name w:val="Normal (Web)"/>
    <w:basedOn w:val="Normal"/>
    <w:uiPriority w:val="99"/>
    <w:unhideWhenUsed/>
    <w:qFormat/>
    <w:rsid w:val="00dc27d2"/>
    <w:pPr>
      <w:spacing w:beforeAutospacing="1" w:afterAutospacing="1"/>
    </w:pPr>
    <w:rPr/>
  </w:style>
  <w:style w:type="paragraph" w:styleId="Annotationtext">
    <w:name w:val="annotation text"/>
    <w:basedOn w:val="Normal"/>
    <w:link w:val="TextodecomentrioChar"/>
    <w:qFormat/>
    <w:rsid w:val="00582aaa"/>
    <w:pPr/>
    <w:rPr>
      <w:sz w:val="20"/>
      <w:szCs w:val="20"/>
    </w:rPr>
  </w:style>
  <w:style w:type="paragraph" w:styleId="Annotationsubject">
    <w:name w:val="annotation subject"/>
    <w:basedOn w:val="Annotationtext"/>
    <w:next w:val="Annotationtext"/>
    <w:link w:val="AssuntodocomentrioChar"/>
    <w:qFormat/>
    <w:rsid w:val="00582aaa"/>
    <w:pPr/>
    <w:rPr>
      <w:b/>
      <w:bCs/>
    </w:rPr>
  </w:style>
  <w:style w:type="paragraph" w:styleId="BalloonText">
    <w:name w:val="Balloon Text"/>
    <w:basedOn w:val="Normal"/>
    <w:link w:val="TextodebaloChar"/>
    <w:qFormat/>
    <w:rsid w:val="00582aaa"/>
    <w:pPr/>
    <w:rPr>
      <w:rFonts w:ascii="Tahoma" w:hAnsi="Tahoma" w:cs="Tahoma"/>
      <w:sz w:val="16"/>
      <w:szCs w:val="16"/>
    </w:rPr>
  </w:style>
  <w:style w:type="paragraph" w:styleId="BodyText23" w:customStyle="1">
    <w:name w:val="Body Text 23"/>
    <w:basedOn w:val="Normal"/>
    <w:uiPriority w:val="99"/>
    <w:qFormat/>
    <w:rsid w:val="00bd0e2d"/>
    <w:pPr>
      <w:widowControl w:val="false"/>
      <w:overflowPunct w:val="false"/>
      <w:jc w:val="both"/>
      <w:textAlignment w:val="baseline"/>
    </w:pPr>
    <w:rPr>
      <w:rFonts w:ascii="Arial" w:hAnsi="Arial"/>
      <w:szCs w:val="20"/>
    </w:rPr>
  </w:style>
  <w:style w:type="paragraph" w:styleId="Ttulododocumento">
    <w:name w:val="Title"/>
    <w:basedOn w:val="Normal"/>
    <w:link w:val="TtuloChar"/>
    <w:qFormat/>
    <w:rsid w:val="00bd0e2d"/>
    <w:pPr>
      <w:widowControl w:val="false"/>
      <w:overflowPunct w:val="false"/>
      <w:jc w:val="center"/>
    </w:pPr>
    <w:rPr>
      <w:rFonts w:ascii="Arial" w:hAnsi="Arial"/>
      <w:i/>
      <w:szCs w:val="20"/>
    </w:rPr>
  </w:style>
  <w:style w:type="paragraph" w:styleId="ListParagraph">
    <w:name w:val="List Paragraph"/>
    <w:basedOn w:val="Normal"/>
    <w:uiPriority w:val="34"/>
    <w:qFormat/>
    <w:rsid w:val="00583883"/>
    <w:pPr>
      <w:spacing w:before="0" w:after="0"/>
      <w:ind w:left="720" w:hanging="0"/>
      <w:contextualSpacing/>
    </w:pPr>
    <w:rPr/>
  </w:style>
  <w:style w:type="paragraph" w:styleId="NoSpacing">
    <w:name w:val="No Spacing"/>
    <w:uiPriority w:val="1"/>
    <w:qFormat/>
    <w:rsid w:val="005e3456"/>
    <w:pPr>
      <w:widowControl/>
      <w:bidi w:val="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rsid w:val="00c32ce7"/>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Relationship Id="rId3"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739B4-777A-4876-9291-40EA507B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LibreOffice/6.1.6.3$Windows_X86_64 LibreOffice_project/5896ab1714085361c45cf540f76f60673dd96a72</Application>
  <Pages>9</Pages>
  <Words>2707</Words>
  <Characters>15797</Characters>
  <CharactersWithSpaces>18581</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2018-04-11T18:15:00Z</dcterms:created>
  <dc:creator>MBUSTAMANTE</dc:creator>
  <dc:description/>
  <dc:language>pt-BR</dc:language>
  <cp:lastModifiedBy/>
  <cp:lastPrinted>2020-05-25T13:42:54Z</cp:lastPrinted>
  <dcterms:modified xsi:type="dcterms:W3CDTF">2020-05-25T13:44:25Z</dcterms:modified>
  <cp:revision>8</cp:revision>
  <dc:subject/>
  <dc:title>PROCESSO N° 0683/08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