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p>
    <w:p>
      <w:pPr>
        <w:overflowPunct w:val="0"/>
        <w:jc w:val="center"/>
        <w:rPr>
          <w:rFonts w:hint="default" w:ascii="Calibri" w:hAnsi="Calibri" w:cs="Calibri"/>
          <w:sz w:val="32"/>
          <w:szCs w:val="32"/>
          <w:lang w:val="pt-BR"/>
        </w:rPr>
      </w:pPr>
      <w:r>
        <w:rPr>
          <w:rFonts w:hint="default" w:ascii="Calibri" w:hAnsi="Calibri" w:cs="Calibri"/>
          <w:b/>
          <w:color w:val="000000" w:themeColor="text1"/>
          <w:sz w:val="32"/>
          <w:szCs w:val="32"/>
          <w14:textFill>
            <w14:solidFill>
              <w14:schemeClr w14:val="tx1"/>
            </w14:solidFill>
          </w14:textFill>
        </w:rPr>
        <w:t xml:space="preserve">TERMO DE REFERÊNCIA </w:t>
      </w:r>
      <w:r>
        <w:rPr>
          <w:rFonts w:hint="default" w:ascii="Calibri" w:hAnsi="Calibri" w:cs="Calibri"/>
          <w:b/>
          <w:color w:val="000000" w:themeColor="text1"/>
          <w:sz w:val="32"/>
          <w:szCs w:val="32"/>
          <w:lang w:val="pt-BR"/>
          <w14:textFill>
            <w14:solidFill>
              <w14:schemeClr w14:val="tx1"/>
            </w14:solidFill>
          </w14:textFill>
        </w:rPr>
        <w:t>PARA SERVIÇOS COM DEDICAÇÃO DE MÃO DE OBRA</w:t>
      </w:r>
    </w:p>
    <w:p>
      <w:pPr>
        <w:overflowPunct w:val="0"/>
        <w:jc w:val="center"/>
        <w:rPr>
          <w:rFonts w:hint="default" w:ascii="Calibri" w:hAnsi="Calibri" w:cs="Calibri"/>
          <w:b/>
          <w:color w:val="000000" w:themeColor="text1"/>
          <w:sz w:val="20"/>
          <w:szCs w:val="20"/>
          <w:u w:val="single"/>
          <w14:textFill>
            <w14:solidFill>
              <w14:schemeClr w14:val="tx1"/>
            </w14:solidFill>
          </w14:textFill>
        </w:rPr>
      </w:pPr>
    </w:p>
    <w:p>
      <w:pPr>
        <w:tabs>
          <w:tab w:val="left" w:pos="5220"/>
        </w:tabs>
        <w:overflowPunct w:val="0"/>
        <w:rPr>
          <w:rFonts w:hint="default" w:ascii="Calibri" w:hAnsi="Calibri" w:cs="Calibri"/>
          <w:b/>
          <w:color w:val="000000" w:themeColor="text1"/>
          <w:sz w:val="20"/>
          <w:szCs w:val="20"/>
          <w14:textFill>
            <w14:solidFill>
              <w14:schemeClr w14:val="tx1"/>
            </w14:solidFill>
          </w14:textFill>
        </w:rPr>
      </w:pPr>
    </w:p>
    <w:p>
      <w:pPr>
        <w:pStyle w:val="39"/>
        <w:numPr>
          <w:ilvl w:val="0"/>
          <w:numId w:val="2"/>
        </w:numPr>
        <w:tabs>
          <w:tab w:val="left" w:pos="567"/>
        </w:tabs>
        <w:overflowPunct w:val="0"/>
        <w:ind w:left="240" w:leftChars="0" w:firstLineChars="0"/>
        <w:jc w:val="both"/>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b/>
          <w:color w:val="000000" w:themeColor="text1"/>
          <w:sz w:val="20"/>
          <w:szCs w:val="20"/>
          <w14:textFill>
            <w14:solidFill>
              <w14:schemeClr w14:val="tx1"/>
            </w14:solidFill>
          </w14:textFill>
        </w:rPr>
        <w:t>DO OBJETO</w:t>
      </w:r>
    </w:p>
    <w:p>
      <w:pPr>
        <w:pStyle w:val="39"/>
        <w:tabs>
          <w:tab w:val="left" w:pos="567"/>
        </w:tabs>
        <w:overflowPunct w:val="0"/>
        <w:ind w:left="0"/>
        <w:jc w:val="both"/>
        <w:rPr>
          <w:rFonts w:hint="default" w:ascii="Calibri" w:hAnsi="Calibri" w:cs="Calibri"/>
          <w:b/>
          <w:color w:val="000000" w:themeColor="text1"/>
          <w:sz w:val="20"/>
          <w:szCs w:val="20"/>
          <w:u w:val="single"/>
          <w14:textFill>
            <w14:solidFill>
              <w14:schemeClr w14:val="tx1"/>
            </w14:solidFill>
          </w14:textFill>
        </w:rPr>
      </w:pPr>
    </w:p>
    <w:p>
      <w:pPr>
        <w:pStyle w:val="39"/>
        <w:overflowPunct w:val="0"/>
        <w:ind w:left="0"/>
        <w:jc w:val="both"/>
        <w:rPr>
          <w:rFonts w:hint="default" w:ascii="Calibri" w:hAnsi="Calibri" w:cs="Calibri"/>
          <w:sz w:val="20"/>
          <w:szCs w:val="20"/>
        </w:rPr>
      </w:pPr>
      <w:r>
        <w:rPr>
          <w:rFonts w:hint="default" w:ascii="Calibri" w:hAnsi="Calibri" w:cs="Calibri"/>
          <w:color w:val="000000" w:themeColor="text1"/>
          <w:sz w:val="20"/>
          <w:szCs w:val="20"/>
          <w14:textFill>
            <w14:solidFill>
              <w14:schemeClr w14:val="tx1"/>
            </w14:solidFill>
          </w14:textFill>
        </w:rPr>
        <w:t>1.1 Contratação de empresa especializada para os serviços de XXXXXXXXXXXXXXXXXXXXXX, para atender as necessidades do XXXXXXXXXXXXXXXX, pelo período de XX (XXXXX) meses, conforme condições, especificações, exigências e estimativas estabelecidas nos autos, bem como nas demais cláusulas deste instrumento.</w:t>
      </w:r>
    </w:p>
    <w:p>
      <w:pPr>
        <w:pStyle w:val="39"/>
        <w:overflowPunct w:val="0"/>
        <w:ind w:left="0"/>
        <w:jc w:val="both"/>
        <w:rPr>
          <w:rFonts w:hint="default" w:ascii="Calibri" w:hAnsi="Calibri" w:cs="Calibri"/>
          <w:color w:val="000000" w:themeColor="text1"/>
          <w:sz w:val="20"/>
          <w:szCs w:val="20"/>
          <w14:textFill>
            <w14:solidFill>
              <w14:schemeClr w14:val="tx1"/>
            </w14:solidFill>
          </w14:textFill>
        </w:rPr>
      </w:pPr>
    </w:p>
    <w:tbl>
      <w:tblPr>
        <w:tblStyle w:val="24"/>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565"/>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1.2</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Requisitante:</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w:t>
            </w:r>
            <w:r>
              <w:rPr>
                <w:rFonts w:hint="default" w:ascii="Calibri" w:hAnsi="Calibri" w:cs="Calibri"/>
                <w:color w:val="000000" w:themeColor="text1"/>
                <w:sz w:val="20"/>
                <w:szCs w:val="20"/>
                <w14:textFill>
                  <w14:solidFill>
                    <w14:schemeClr w14:val="tx1"/>
                  </w14:solidFill>
                </w14:textFill>
              </w:rPr>
              <w:t>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1.3</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Fundamentação legal:</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Lei nº14.133/21, 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1.4</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Período: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left w:val="nil"/>
              <w:right w:val="nil"/>
            </w:tcBorders>
          </w:tcPr>
          <w:p>
            <w:pPr>
              <w:pStyle w:val="39"/>
              <w:overflowPunct w:val="0"/>
              <w:ind w:left="0"/>
              <w:jc w:val="both"/>
              <w:rPr>
                <w:rFonts w:hint="default" w:ascii="Calibri" w:hAnsi="Calibri" w:cs="Calibri"/>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1.5</w:t>
            </w:r>
          </w:p>
        </w:tc>
        <w:tc>
          <w:tcPr>
            <w:tcW w:w="2565" w:type="dxa"/>
            <w:tcBorders>
              <w:left w:val="nil"/>
              <w:right w:val="nil"/>
            </w:tcBorders>
          </w:tcPr>
          <w:p>
            <w:pPr>
              <w:pStyle w:val="39"/>
              <w:overflowPunct w:val="0"/>
              <w:ind w:left="0"/>
              <w:jc w:val="both"/>
              <w:rPr>
                <w:rFonts w:hint="default" w:ascii="Calibri" w:hAnsi="Calibri" w:cs="Calibri"/>
                <w:b/>
                <w:bCs/>
                <w:color w:val="000000" w:themeColor="text1"/>
                <w:sz w:val="20"/>
                <w:szCs w:val="20"/>
                <w14:textFill>
                  <w14:solidFill>
                    <w14:schemeClr w14:val="tx1"/>
                  </w14:solidFill>
                </w14:textFill>
              </w:rPr>
            </w:pPr>
            <w:r>
              <w:rPr>
                <w:rFonts w:hint="default" w:ascii="Calibri" w:hAnsi="Calibri" w:cs="Calibri"/>
                <w:b/>
                <w:bCs/>
                <w:color w:val="000000" w:themeColor="text1"/>
                <w:sz w:val="20"/>
                <w:szCs w:val="20"/>
                <w14:textFill>
                  <w14:solidFill>
                    <w14:schemeClr w14:val="tx1"/>
                  </w14:solidFill>
                </w14:textFill>
              </w:rPr>
              <w:t>Tipo:</w:t>
            </w:r>
          </w:p>
        </w:tc>
        <w:tc>
          <w:tcPr>
            <w:tcW w:w="5955" w:type="dxa"/>
            <w:tcBorders>
              <w:left w:val="nil"/>
              <w:right w:val="nil"/>
            </w:tcBorders>
          </w:tcPr>
          <w:p>
            <w:pPr>
              <w:pStyle w:val="39"/>
              <w:overflowPunct w:val="0"/>
              <w:ind w:left="0"/>
              <w:jc w:val="both"/>
              <w:rPr>
                <w:rFonts w:hint="default" w:ascii="Calibri" w:hAnsi="Calibri" w:cs="Calibri"/>
                <w:color w:val="000000" w:themeColor="text1"/>
                <w:sz w:val="20"/>
                <w:szCs w:val="20"/>
                <w:lang w:val="pt-BR"/>
                <w14:textFill>
                  <w14:solidFill>
                    <w14:schemeClr w14:val="tx1"/>
                  </w14:solidFill>
                </w14:textFill>
              </w:rPr>
            </w:pPr>
            <w:r>
              <w:rPr>
                <w:rFonts w:hint="default" w:ascii="Calibri" w:hAnsi="Calibri" w:cs="Calibri"/>
                <w:color w:val="000000" w:themeColor="text1"/>
                <w:sz w:val="20"/>
                <w:szCs w:val="20"/>
                <w:lang w:val="pt-BR"/>
                <w14:textFill>
                  <w14:solidFill>
                    <w14:schemeClr w14:val="tx1"/>
                  </w14:solidFill>
                </w14:textFill>
              </w:rPr>
              <w:t>xxxxxxxxxxxxxxxxxxxxxxxxxx</w:t>
            </w:r>
          </w:p>
        </w:tc>
      </w:tr>
    </w:tbl>
    <w:p>
      <w:pPr>
        <w:rPr>
          <w:rFonts w:hint="default" w:ascii="Calibri" w:hAnsi="Calibri" w:cs="Calibri"/>
          <w:sz w:val="20"/>
          <w:szCs w:val="20"/>
        </w:rPr>
      </w:pPr>
    </w:p>
    <w:p>
      <w:pPr>
        <w:pStyle w:val="43"/>
        <w:numPr>
          <w:ilvl w:val="0"/>
          <w:numId w:val="3"/>
        </w:numPr>
        <w:ind w:leftChars="0"/>
        <w:rPr>
          <w:rFonts w:hint="default" w:ascii="Calibri" w:hAnsi="Calibri" w:cs="Calibri"/>
          <w:sz w:val="20"/>
          <w:szCs w:val="20"/>
        </w:rPr>
      </w:pPr>
      <w:bookmarkStart w:id="0" w:name="_Hlk82471863"/>
      <w:r>
        <w:rPr>
          <w:rFonts w:hint="default" w:ascii="Calibri" w:hAnsi="Calibri" w:cs="Calibri"/>
          <w:sz w:val="20"/>
          <w:szCs w:val="20"/>
        </w:rPr>
        <w:t>DAS CONDIÇÕES GERAIS DA CONTRATAÇÃO (art. 6º, XXIII, “a” e “i” da Lei n. 14.133/2021).</w:t>
      </w:r>
    </w:p>
    <w:p>
      <w:pPr>
        <w:pStyle w:val="39"/>
        <w:spacing w:after="0" w:line="276" w:lineRule="auto"/>
        <w:ind w:left="716"/>
        <w:jc w:val="both"/>
        <w:rPr>
          <w:rFonts w:hint="default" w:ascii="Calibri" w:hAnsi="Calibri" w:cs="Calibri"/>
          <w:b/>
          <w:iCs/>
          <w:sz w:val="20"/>
          <w:szCs w:val="20"/>
        </w:rPr>
      </w:pPr>
    </w:p>
    <w:p>
      <w:pPr>
        <w:pStyle w:val="39"/>
        <w:numPr>
          <w:ilvl w:val="1"/>
          <w:numId w:val="4"/>
        </w:numPr>
        <w:spacing w:after="0" w:line="276" w:lineRule="auto"/>
        <w:jc w:val="both"/>
        <w:rPr>
          <w:rFonts w:hint="default" w:ascii="Calibri" w:hAnsi="Calibri" w:cs="Calibri"/>
          <w:b/>
          <w:iCs/>
          <w:sz w:val="20"/>
          <w:szCs w:val="20"/>
        </w:rPr>
      </w:pPr>
      <w:r>
        <w:rPr>
          <w:rFonts w:hint="default" w:ascii="Calibri" w:hAnsi="Calibri" w:cs="Calibri"/>
          <w:iCs/>
          <w:sz w:val="20"/>
          <w:szCs w:val="20"/>
        </w:rPr>
        <w:t xml:space="preserve">Contratação de serviços de </w:t>
      </w:r>
      <w:r>
        <w:rPr>
          <w:rFonts w:hint="default" w:ascii="Calibri" w:hAnsi="Calibri" w:cs="Calibri"/>
          <w:iCs/>
          <w:color w:val="FF0000"/>
          <w:sz w:val="20"/>
          <w:szCs w:val="20"/>
        </w:rPr>
        <w:t>...........................................................</w:t>
      </w:r>
      <w:r>
        <w:rPr>
          <w:rFonts w:hint="default" w:ascii="Calibri" w:hAnsi="Calibri" w:cs="Calibri"/>
          <w:b/>
          <w:iCs/>
          <w:sz w:val="20"/>
          <w:szCs w:val="20"/>
        </w:rPr>
        <w:t>,</w:t>
      </w:r>
      <w:r>
        <w:rPr>
          <w:rFonts w:hint="default" w:ascii="Calibri" w:hAnsi="Calibri" w:cs="Calibri"/>
          <w:iCs/>
          <w:sz w:val="20"/>
          <w:szCs w:val="20"/>
        </w:rPr>
        <w:t xml:space="preserve"> a serem executados com regime de dedicação exclusiva de mão de obra, nos termos da tabela abaixo, conforme condições e exigências estabelecidas neste instrumento.</w:t>
      </w:r>
    </w:p>
    <w:p>
      <w:pPr>
        <w:pStyle w:val="39"/>
        <w:spacing w:after="0" w:line="276" w:lineRule="auto"/>
        <w:ind w:left="858"/>
        <w:jc w:val="both"/>
        <w:rPr>
          <w:rFonts w:hint="default" w:ascii="Calibri" w:hAnsi="Calibri" w:cs="Calibri"/>
          <w:b/>
          <w:iCs/>
          <w:sz w:val="20"/>
          <w:szCs w:val="20"/>
        </w:rPr>
      </w:pPr>
    </w:p>
    <w:tbl>
      <w:tblPr>
        <w:tblStyle w:val="7"/>
        <w:tblW w:w="8516"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3419"/>
        <w:gridCol w:w="923"/>
        <w:gridCol w:w="1581"/>
        <w:gridCol w:w="1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85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color w:val="000000"/>
                <w:sz w:val="20"/>
                <w:szCs w:val="20"/>
              </w:rPr>
            </w:pPr>
            <w:r>
              <w:rPr>
                <w:rFonts w:hint="default" w:ascii="Calibri" w:hAnsi="Calibri" w:cs="Calibri"/>
                <w:b/>
                <w:bCs/>
                <w:color w:val="000000"/>
                <w:sz w:val="20"/>
                <w:szCs w:val="20"/>
              </w:rPr>
              <w:t>ITEM</w:t>
            </w:r>
          </w:p>
          <w:p>
            <w:pPr>
              <w:widowControl w:val="0"/>
              <w:suppressAutoHyphens/>
              <w:spacing w:after="0" w:line="276" w:lineRule="auto"/>
              <w:jc w:val="center"/>
              <w:rPr>
                <w:rFonts w:hint="default" w:ascii="Calibri" w:hAnsi="Calibri" w:cs="Calibri"/>
                <w:b/>
                <w:color w:val="000000"/>
                <w:sz w:val="20"/>
                <w:szCs w:val="20"/>
              </w:rPr>
            </w:pPr>
          </w:p>
        </w:tc>
        <w:tc>
          <w:tcPr>
            <w:tcW w:w="341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ESPECIFICAÇÃO</w:t>
            </w:r>
          </w:p>
        </w:tc>
        <w:tc>
          <w:tcPr>
            <w:tcW w:w="923"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CATSER</w:t>
            </w:r>
          </w:p>
        </w:tc>
        <w:tc>
          <w:tcPr>
            <w:tcW w:w="158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color w:val="000000"/>
                <w:sz w:val="20"/>
                <w:szCs w:val="20"/>
              </w:rPr>
            </w:pPr>
            <w:r>
              <w:rPr>
                <w:rFonts w:hint="default" w:ascii="Calibri" w:hAnsi="Calibri" w:cs="Calibri"/>
                <w:b/>
                <w:bCs/>
                <w:color w:val="000000"/>
                <w:sz w:val="20"/>
                <w:szCs w:val="20"/>
              </w:rPr>
              <w:t>UNIDADE DE MEDIDA</w:t>
            </w:r>
          </w:p>
        </w:tc>
        <w:tc>
          <w:tcPr>
            <w:tcW w:w="174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bCs/>
                <w:sz w:val="20"/>
                <w:szCs w:val="20"/>
              </w:rPr>
            </w:pPr>
            <w:r>
              <w:rPr>
                <w:rFonts w:hint="default" w:ascii="Calibri" w:hAnsi="Calibri" w:cs="Calibri"/>
                <w:b/>
                <w:bCs/>
                <w:sz w:val="20"/>
                <w:szCs w:val="20"/>
              </w:rPr>
              <w:t>QUANTIDADE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 w:hRule="atLeast"/>
        </w:trPr>
        <w:tc>
          <w:tcPr>
            <w:tcW w:w="85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1</w:t>
            </w:r>
          </w:p>
        </w:tc>
        <w:tc>
          <w:tcPr>
            <w:tcW w:w="341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923"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 w:hRule="atLeast"/>
        </w:trPr>
        <w:tc>
          <w:tcPr>
            <w:tcW w:w="85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2</w:t>
            </w:r>
          </w:p>
        </w:tc>
        <w:tc>
          <w:tcPr>
            <w:tcW w:w="341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923"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 w:hRule="atLeast"/>
        </w:trPr>
        <w:tc>
          <w:tcPr>
            <w:tcW w:w="85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3</w:t>
            </w:r>
          </w:p>
        </w:tc>
        <w:tc>
          <w:tcPr>
            <w:tcW w:w="3419"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923"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85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jc w:val="center"/>
              <w:rPr>
                <w:rFonts w:hint="default" w:ascii="Calibri" w:hAnsi="Calibri" w:cs="Calibri"/>
                <w:b/>
                <w:color w:val="000000"/>
                <w:sz w:val="20"/>
                <w:szCs w:val="20"/>
              </w:rPr>
            </w:pPr>
            <w:r>
              <w:rPr>
                <w:rFonts w:hint="default" w:ascii="Calibri" w:hAnsi="Calibri" w:cs="Calibri"/>
                <w:b/>
                <w:color w:val="000000"/>
                <w:sz w:val="20"/>
                <w:szCs w:val="20"/>
              </w:rPr>
              <w:t>...</w:t>
            </w:r>
          </w:p>
        </w:tc>
        <w:tc>
          <w:tcPr>
            <w:tcW w:w="3419" w:type="dxa"/>
            <w:tcBorders>
              <w:top w:val="single" w:color="000000" w:sz="4" w:space="0"/>
              <w:left w:val="single" w:color="000000" w:sz="4" w:space="0"/>
              <w:bottom w:val="single" w:color="000000" w:sz="4" w:space="0"/>
              <w:right w:val="single" w:color="000000" w:sz="4" w:space="0"/>
            </w:tcBorders>
          </w:tcPr>
          <w:p>
            <w:pPr>
              <w:jc w:val="center"/>
              <w:rPr>
                <w:rFonts w:hint="default" w:ascii="Calibri" w:hAnsi="Calibri" w:cs="Calibri"/>
                <w:sz w:val="20"/>
                <w:szCs w:val="20"/>
              </w:rPr>
            </w:pPr>
          </w:p>
        </w:tc>
        <w:tc>
          <w:tcPr>
            <w:tcW w:w="923"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76" w:lineRule="auto"/>
              <w:rPr>
                <w:rFonts w:hint="default" w:ascii="Calibri" w:hAnsi="Calibri" w:cs="Calibri"/>
                <w:color w:val="000000"/>
                <w:sz w:val="20"/>
                <w:szCs w:val="20"/>
              </w:rPr>
            </w:pPr>
          </w:p>
        </w:tc>
      </w:tr>
    </w:tbl>
    <w:p>
      <w:pPr>
        <w:pStyle w:val="42"/>
        <w:spacing w:before="0" w:line="276" w:lineRule="auto"/>
        <w:rPr>
          <w:rFonts w:hint="default" w:ascii="Calibri" w:hAnsi="Calibri" w:cs="Calibri"/>
          <w:bCs/>
          <w:szCs w:val="20"/>
        </w:rPr>
      </w:pPr>
      <w:r>
        <w:rPr>
          <w:rFonts w:hint="default" w:ascii="Calibri" w:hAnsi="Calibri" w:cs="Calibri"/>
          <w:b/>
          <w:szCs w:val="20"/>
        </w:rPr>
        <w:t xml:space="preserve">Tabela: </w:t>
      </w:r>
      <w:r>
        <w:rPr>
          <w:rFonts w:hint="default" w:ascii="Calibri" w:hAnsi="Calibri" w:cs="Calibri"/>
          <w:bCs/>
          <w:szCs w:val="20"/>
        </w:rPr>
        <w:t>A tabela acima é meramente ilustrativa, podendo ser livremente alterada conforme o caso concreto.</w:t>
      </w:r>
    </w:p>
    <w:p>
      <w:pPr>
        <w:pStyle w:val="42"/>
        <w:spacing w:before="0" w:line="276" w:lineRule="auto"/>
        <w:rPr>
          <w:rFonts w:hint="default" w:ascii="Calibri" w:hAnsi="Calibri" w:cs="Calibri"/>
          <w:szCs w:val="20"/>
        </w:rPr>
      </w:pPr>
      <w:r>
        <w:rPr>
          <w:rFonts w:hint="default" w:ascii="Calibri" w:hAnsi="Calibri" w:cs="Calibri"/>
          <w:b/>
          <w:bCs/>
          <w:szCs w:val="20"/>
        </w:rPr>
        <w:t>Parcelamento:</w:t>
      </w:r>
      <w:r>
        <w:rPr>
          <w:rFonts w:hint="default" w:ascii="Calibri" w:hAnsi="Calibri" w:cs="Calibri"/>
          <w:szCs w:val="20"/>
        </w:rPr>
        <w:t xml:space="preserve"> A justificativa para o parcelamento ou não do objeto deve constar do Estudo Técnico Preliminar (art. 18, §1º, VIII, da Lei n. 14.133/2021). Os serviços, como regra, devem atender ao parcelamento quando for tecnicamente viável e economicamente vantajoso (art. 47, inciso II, da Lei n. 14.133/2021). Devem também ser observadas as regras do artigo 47, § 1º, da Lei n. 14.133/2021.</w:t>
      </w:r>
    </w:p>
    <w:p>
      <w:pPr>
        <w:pStyle w:val="42"/>
        <w:spacing w:before="0" w:line="276" w:lineRule="auto"/>
        <w:rPr>
          <w:rFonts w:hint="default" w:ascii="Calibri" w:hAnsi="Calibri" w:cs="Calibri"/>
          <w:szCs w:val="20"/>
        </w:rPr>
      </w:pPr>
      <w:r>
        <w:rPr>
          <w:rFonts w:hint="default" w:ascii="Calibri" w:hAnsi="Calibri" w:cs="Calibri"/>
          <w:szCs w:val="20"/>
        </w:rPr>
        <w:t>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pPr>
        <w:pStyle w:val="39"/>
        <w:spacing w:after="0" w:line="276" w:lineRule="auto"/>
        <w:ind w:left="716"/>
        <w:jc w:val="both"/>
        <w:rPr>
          <w:rFonts w:hint="default" w:ascii="Calibri" w:hAnsi="Calibri" w:cs="Calibri"/>
          <w:iCs/>
          <w:sz w:val="20"/>
          <w:szCs w:val="20"/>
        </w:rPr>
      </w:pPr>
    </w:p>
    <w:p>
      <w:pPr>
        <w:pStyle w:val="39"/>
        <w:numPr>
          <w:ilvl w:val="1"/>
          <w:numId w:val="5"/>
        </w:numPr>
        <w:spacing w:after="0" w:line="276" w:lineRule="auto"/>
        <w:ind w:left="1000"/>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 contados do(a) ............................., prorrogável, sucessivamente, até o máximo de 10 (dez) anos, na forma dos artigos 106 e 107 da Lei n° 14.133/2021.</w:t>
      </w:r>
    </w:p>
    <w:p>
      <w:pPr>
        <w:pStyle w:val="50"/>
        <w:rPr>
          <w:rFonts w:hint="default" w:ascii="Calibri" w:hAnsi="Calibri" w:cs="Calibri"/>
          <w:color w:val="auto"/>
          <w:lang w:val="pt-BR"/>
        </w:rPr>
      </w:pPr>
      <w:r>
        <w:rPr>
          <w:rFonts w:hint="default" w:ascii="Calibri" w:hAnsi="Calibri" w:cs="Calibri"/>
          <w:b/>
          <w:bCs/>
          <w:color w:val="auto"/>
          <w:lang w:val="pt-BR"/>
        </w:rPr>
        <w:t xml:space="preserve">Nota Explicativa: </w:t>
      </w:r>
      <w:r>
        <w:rPr>
          <w:rFonts w:hint="default" w:ascii="Calibri" w:hAnsi="Calibri" w:cs="Calibri"/>
          <w:color w:val="auto"/>
          <w:lang w:val="pt-BR"/>
        </w:rPr>
        <w:t>Indicar o prazo</w:t>
      </w:r>
      <w:r>
        <w:rPr>
          <w:rFonts w:hint="default" w:ascii="Calibri" w:hAnsi="Calibri" w:cs="Calibri"/>
          <w:b/>
          <w:bCs/>
          <w:color w:val="auto"/>
          <w:lang w:val="pt-BR"/>
        </w:rPr>
        <w:t xml:space="preserve"> </w:t>
      </w:r>
      <w:r>
        <w:rPr>
          <w:rFonts w:hint="default" w:ascii="Calibri" w:hAnsi="Calibri" w:cs="Calibri"/>
          <w:color w:val="auto"/>
          <w:lang w:val="pt-BR"/>
        </w:rPr>
        <w:t>da contratação, que deverá ser de no máximo 5 (cinco) anos.</w:t>
      </w:r>
      <w:r>
        <w:rPr>
          <w:rFonts w:hint="default" w:ascii="Calibri" w:hAnsi="Calibri" w:cs="Calibri"/>
          <w:b/>
          <w:bCs/>
          <w:color w:val="auto"/>
          <w:lang w:val="pt-BR"/>
        </w:rPr>
        <w:t xml:space="preserve"> </w:t>
      </w:r>
    </w:p>
    <w:p>
      <w:pPr>
        <w:spacing w:after="0" w:line="276" w:lineRule="auto"/>
        <w:ind w:left="568"/>
        <w:jc w:val="both"/>
        <w:rPr>
          <w:rFonts w:hint="default" w:ascii="Calibri" w:hAnsi="Calibri" w:cs="Calibri"/>
          <w:bCs/>
          <w:i/>
          <w:color w:val="FF0000"/>
          <w:sz w:val="20"/>
          <w:szCs w:val="20"/>
        </w:rPr>
      </w:pPr>
    </w:p>
    <w:p>
      <w:pPr>
        <w:pStyle w:val="39"/>
        <w:numPr>
          <w:ilvl w:val="2"/>
          <w:numId w:val="1"/>
        </w:numPr>
        <w:spacing w:after="0" w:line="276" w:lineRule="auto"/>
        <w:jc w:val="both"/>
        <w:rPr>
          <w:rFonts w:hint="default" w:ascii="Calibri" w:hAnsi="Calibri" w:cs="Calibri"/>
          <w:bCs/>
          <w:i/>
          <w:color w:val="FF0000"/>
          <w:sz w:val="20"/>
          <w:szCs w:val="20"/>
        </w:rPr>
      </w:pPr>
      <w:r>
        <w:rPr>
          <w:rFonts w:hint="default" w:ascii="Calibri" w:hAnsi="Calibri" w:cs="Calibri"/>
          <w:bCs/>
          <w:i/>
          <w:color w:val="FF0000"/>
          <w:sz w:val="20"/>
          <w:szCs w:val="20"/>
        </w:rPr>
        <w:t xml:space="preserve">O serviço é enquadrado como continuado tendo em vista que [...], sendo a vigência plurianual mais vantajosa, considerando [...] </w:t>
      </w:r>
      <w:r>
        <w:rPr>
          <w:rFonts w:hint="default" w:ascii="Calibri" w:hAnsi="Calibri" w:cs="Calibri"/>
          <w:b/>
          <w:i/>
          <w:color w:val="FF0000"/>
          <w:sz w:val="20"/>
          <w:szCs w:val="20"/>
        </w:rPr>
        <w:t>OU</w:t>
      </w:r>
      <w:r>
        <w:rPr>
          <w:rFonts w:hint="default" w:ascii="Calibri" w:hAnsi="Calibri" w:cs="Calibri"/>
          <w:bCs/>
          <w:i/>
          <w:color w:val="FF0000"/>
          <w:sz w:val="20"/>
          <w:szCs w:val="20"/>
        </w:rPr>
        <w:t xml:space="preserve"> o Estudo Técnico Preliminar </w:t>
      </w:r>
      <w:r>
        <w:rPr>
          <w:rFonts w:hint="default" w:ascii="Calibri" w:hAnsi="Calibri" w:cs="Calibri"/>
          <w:b/>
          <w:bCs/>
          <w:i/>
          <w:color w:val="FF0000"/>
          <w:sz w:val="20"/>
          <w:szCs w:val="20"/>
        </w:rPr>
        <w:t>OU</w:t>
      </w:r>
      <w:r>
        <w:rPr>
          <w:rFonts w:hint="default" w:ascii="Calibri" w:hAnsi="Calibri" w:cs="Calibri"/>
          <w:bCs/>
          <w:i/>
          <w:color w:val="FF0000"/>
          <w:sz w:val="20"/>
          <w:szCs w:val="20"/>
        </w:rPr>
        <w:t xml:space="preserve"> os termos da Nota Técnica .../...;</w:t>
      </w:r>
    </w:p>
    <w:p>
      <w:pPr>
        <w:spacing w:after="0" w:line="276" w:lineRule="auto"/>
        <w:ind w:left="426"/>
        <w:jc w:val="both"/>
        <w:rPr>
          <w:rFonts w:hint="default" w:ascii="Calibri" w:hAnsi="Calibri" w:cs="Calibri"/>
          <w:b/>
          <w:bCs/>
          <w:i/>
          <w:color w:val="FF0000"/>
          <w:sz w:val="20"/>
          <w:szCs w:val="20"/>
        </w:rPr>
      </w:pPr>
      <w:r>
        <w:rPr>
          <w:rFonts w:hint="default" w:ascii="Calibri" w:hAnsi="Calibri" w:cs="Calibri"/>
          <w:b/>
          <w:bCs/>
          <w:i/>
          <w:color w:val="FF0000"/>
          <w:sz w:val="20"/>
          <w:szCs w:val="20"/>
        </w:rPr>
        <w:t>OU</w:t>
      </w:r>
    </w:p>
    <w:p>
      <w:pPr>
        <w:spacing w:after="0" w:line="276" w:lineRule="auto"/>
        <w:ind w:left="426"/>
        <w:jc w:val="both"/>
        <w:rPr>
          <w:rFonts w:hint="default" w:ascii="Calibri" w:hAnsi="Calibri" w:cs="Calibri"/>
          <w:b/>
          <w:bCs/>
          <w:i/>
          <w:color w:val="FF0000"/>
          <w:sz w:val="20"/>
          <w:szCs w:val="20"/>
        </w:rPr>
      </w:pPr>
    </w:p>
    <w:p>
      <w:pPr>
        <w:pStyle w:val="39"/>
        <w:numPr>
          <w:ilvl w:val="1"/>
          <w:numId w:val="6"/>
        </w:numPr>
        <w:spacing w:after="0" w:line="276" w:lineRule="auto"/>
        <w:ind w:left="1000"/>
        <w:jc w:val="both"/>
        <w:rPr>
          <w:rFonts w:hint="default" w:ascii="Calibri" w:hAnsi="Calibri" w:cs="Calibri"/>
          <w:bCs/>
          <w:i/>
          <w:color w:val="FF0000"/>
          <w:sz w:val="20"/>
          <w:szCs w:val="20"/>
        </w:rPr>
      </w:pPr>
      <w:r>
        <w:rPr>
          <w:rFonts w:hint="default" w:ascii="Calibri" w:hAnsi="Calibri" w:cs="Calibri"/>
          <w:bCs/>
          <w:i/>
          <w:color w:val="FF0000"/>
          <w:sz w:val="20"/>
          <w:szCs w:val="20"/>
        </w:rPr>
        <w:t>O prazo de vigência da contratação é de ................, contados do(a) ............................., improrrogável, na forma do art. 75, inciso VIII, da Lei n° 14.133/2021.</w:t>
      </w:r>
    </w:p>
    <w:p>
      <w:pPr>
        <w:pStyle w:val="50"/>
        <w:rPr>
          <w:rFonts w:hint="default" w:ascii="Calibri" w:hAnsi="Calibri" w:cs="Calibri"/>
          <w:iCs w:val="0"/>
          <w:color w:val="auto"/>
          <w:szCs w:val="20"/>
          <w:lang w:val="pt-BR"/>
        </w:rPr>
      </w:pPr>
      <w:r>
        <w:rPr>
          <w:rFonts w:hint="default" w:ascii="Calibri" w:hAnsi="Calibri" w:cs="Calibri"/>
          <w:b/>
          <w:bCs/>
          <w:iCs w:val="0"/>
          <w:color w:val="auto"/>
          <w:szCs w:val="20"/>
          <w:lang w:val="pt-BR"/>
        </w:rPr>
        <w:t xml:space="preserve">Nota Explicativa: </w:t>
      </w:r>
      <w:r>
        <w:rPr>
          <w:rFonts w:hint="default" w:ascii="Calibri" w:hAnsi="Calibri" w:cs="Calibri"/>
          <w:iCs w:val="0"/>
          <w:color w:val="auto"/>
          <w:szCs w:val="20"/>
          <w:lang w:val="pt-BR"/>
        </w:rPr>
        <w:t>Indicar o prazo</w:t>
      </w:r>
      <w:r>
        <w:rPr>
          <w:rFonts w:hint="default" w:ascii="Calibri" w:hAnsi="Calibri" w:cs="Calibri"/>
          <w:b/>
          <w:bCs/>
          <w:iCs w:val="0"/>
          <w:color w:val="auto"/>
          <w:szCs w:val="20"/>
          <w:lang w:val="pt-BR"/>
        </w:rPr>
        <w:t xml:space="preserve"> </w:t>
      </w:r>
      <w:r>
        <w:rPr>
          <w:rFonts w:hint="default" w:ascii="Calibri" w:hAnsi="Calibri" w:cs="Calibri"/>
          <w:iCs w:val="0"/>
          <w:color w:val="auto"/>
          <w:szCs w:val="20"/>
          <w:lang w:val="pt-BR"/>
        </w:rPr>
        <w:t xml:space="preserve">da contratação, que deverá ser de no máximo 1 (um) ano da data da </w:t>
      </w:r>
      <w:r>
        <w:rPr>
          <w:rFonts w:hint="default" w:ascii="Calibri" w:hAnsi="Calibri" w:cs="Calibri"/>
          <w:bCs/>
          <w:color w:val="auto"/>
          <w:szCs w:val="20"/>
        </w:rPr>
        <w:t>ocorrência da emergência ou calamidade</w:t>
      </w:r>
      <w:r>
        <w:rPr>
          <w:rFonts w:hint="default" w:ascii="Calibri" w:hAnsi="Calibri" w:cs="Calibri"/>
          <w:iCs w:val="0"/>
          <w:color w:val="auto"/>
          <w:szCs w:val="20"/>
          <w:lang w:val="pt-BR"/>
        </w:rPr>
        <w:t>.</w:t>
      </w:r>
      <w:r>
        <w:rPr>
          <w:rFonts w:hint="default" w:ascii="Calibri" w:hAnsi="Calibri" w:cs="Calibri"/>
          <w:b/>
          <w:bCs/>
          <w:iCs w:val="0"/>
          <w:color w:val="auto"/>
          <w:szCs w:val="20"/>
          <w:lang w:val="pt-BR"/>
        </w:rPr>
        <w:t xml:space="preserve"> </w:t>
      </w:r>
    </w:p>
    <w:p>
      <w:pPr>
        <w:pStyle w:val="39"/>
        <w:spacing w:after="0" w:line="276" w:lineRule="auto"/>
        <w:ind w:left="1000"/>
        <w:jc w:val="both"/>
        <w:rPr>
          <w:rFonts w:hint="default" w:ascii="Calibri" w:hAnsi="Calibri" w:cs="Calibri"/>
          <w:bCs/>
          <w:i/>
          <w:color w:val="FF0000"/>
          <w:sz w:val="20"/>
          <w:szCs w:val="20"/>
        </w:rPr>
      </w:pPr>
    </w:p>
    <w:p>
      <w:pPr>
        <w:pStyle w:val="42"/>
        <w:spacing w:before="0" w:line="276" w:lineRule="auto"/>
        <w:rPr>
          <w:rFonts w:hint="default" w:ascii="Calibri" w:hAnsi="Calibri" w:cs="Calibri"/>
          <w:bCs/>
          <w:szCs w:val="20"/>
        </w:rPr>
      </w:pPr>
      <w:r>
        <w:rPr>
          <w:rFonts w:hint="default" w:ascii="Calibri" w:hAnsi="Calibri" w:cs="Calibri"/>
          <w:b/>
          <w:szCs w:val="20"/>
        </w:rPr>
        <w:t>Enquadramento da Contratação para fins de vigência</w:t>
      </w:r>
      <w:r>
        <w:rPr>
          <w:rFonts w:hint="default" w:ascii="Calibri" w:hAnsi="Calibri" w:cs="Calibri"/>
          <w:bCs/>
          <w:szCs w:val="20"/>
        </w:rPr>
        <w:t xml:space="preserve">: Há três tipos de contratação para fornecimento de serviços, no que tange à vigência: </w:t>
      </w:r>
    </w:p>
    <w:p>
      <w:pPr>
        <w:pStyle w:val="42"/>
        <w:spacing w:before="0" w:line="276" w:lineRule="auto"/>
        <w:rPr>
          <w:rFonts w:hint="default" w:ascii="Calibri" w:hAnsi="Calibri" w:cs="Calibri"/>
        </w:rPr>
      </w:pPr>
      <w:r>
        <w:rPr>
          <w:rFonts w:hint="default" w:ascii="Calibri" w:hAnsi="Calibri" w:cs="Calibri"/>
          <w:bCs/>
          <w:szCs w:val="20"/>
        </w:rPr>
        <w:t xml:space="preserve">a) Há </w:t>
      </w:r>
      <w:r>
        <w:rPr>
          <w:rFonts w:hint="default" w:ascii="Calibri" w:hAnsi="Calibri" w:cs="Calibri"/>
          <w:b/>
          <w:szCs w:val="20"/>
        </w:rPr>
        <w:t>prestação não-contínua</w:t>
      </w:r>
      <w:r>
        <w:rPr>
          <w:rFonts w:hint="default" w:ascii="Calibri" w:hAnsi="Calibri" w:cs="Calibri"/>
          <w:bCs/>
          <w:szCs w:val="20"/>
        </w:rPr>
        <w:t xml:space="preserve"> quando se trata de um serviço sem que haja uma demanda de caráter permanente. Uma vez finalizado, resolve-se a necessidade que deu azo ao contrato. Estes usam o </w:t>
      </w:r>
      <w:r>
        <w:rPr>
          <w:rFonts w:hint="default" w:ascii="Calibri" w:hAnsi="Calibri" w:cs="Calibri"/>
          <w:b/>
          <w:szCs w:val="20"/>
        </w:rPr>
        <w:t>art. 105</w:t>
      </w:r>
      <w:r>
        <w:rPr>
          <w:rFonts w:hint="default" w:ascii="Calibri" w:hAnsi="Calibri" w:cs="Calibri"/>
          <w:bCs/>
          <w:szCs w:val="20"/>
        </w:rPr>
        <w:t xml:space="preserve"> como fundamento e através dele ou partem apenas de créditos do exercício corrente ou plurianuais se inscritos no PPA.</w:t>
      </w:r>
    </w:p>
    <w:p>
      <w:pPr>
        <w:pStyle w:val="42"/>
        <w:spacing w:before="0" w:line="276" w:lineRule="auto"/>
        <w:rPr>
          <w:rFonts w:hint="default" w:ascii="Calibri" w:hAnsi="Calibri" w:cs="Calibri"/>
          <w:bCs/>
          <w:szCs w:val="20"/>
        </w:rPr>
      </w:pPr>
      <w:r>
        <w:rPr>
          <w:rFonts w:hint="default" w:ascii="Calibri" w:hAnsi="Calibri" w:cs="Calibri"/>
          <w:bCs/>
          <w:szCs w:val="20"/>
        </w:rPr>
        <w:t xml:space="preserve">b) Há </w:t>
      </w:r>
      <w:r>
        <w:rPr>
          <w:rFonts w:hint="default" w:ascii="Calibri" w:hAnsi="Calibri" w:cs="Calibri"/>
          <w:b/>
          <w:szCs w:val="20"/>
        </w:rPr>
        <w:t>prestação contínua</w:t>
      </w:r>
      <w:r>
        <w:rPr>
          <w:rFonts w:hint="default" w:ascii="Calibri" w:hAnsi="Calibri" w:cs="Calibri"/>
          <w:bCs/>
          <w:szCs w:val="20"/>
        </w:rPr>
        <w:t xml:space="preserve"> quando o serviço é uma necessidade permanente. É o caso, por exemplo, de serviços limpeza e segurança essenciais para o funcionamento do órgão público. Nessas situações, findado o contrato, haverá sua substituição por um novo e assim, sucessivamente, pois a necessidade em si é permanente. Contratações dessa natureza são atendidas pelos </w:t>
      </w:r>
      <w:r>
        <w:rPr>
          <w:rFonts w:hint="default" w:ascii="Calibri" w:hAnsi="Calibri" w:cs="Calibri"/>
          <w:b/>
          <w:szCs w:val="20"/>
        </w:rPr>
        <w:t>arts. 106 e 107</w:t>
      </w:r>
      <w:r>
        <w:rPr>
          <w:rFonts w:hint="default" w:ascii="Calibri" w:hAnsi="Calibri" w:cs="Calibri"/>
          <w:bCs/>
          <w:szCs w:val="20"/>
        </w:rPr>
        <w:t>.</w:t>
      </w:r>
    </w:p>
    <w:p>
      <w:pPr>
        <w:pStyle w:val="42"/>
        <w:spacing w:before="0" w:line="276" w:lineRule="auto"/>
        <w:rPr>
          <w:rFonts w:hint="default" w:ascii="Calibri" w:hAnsi="Calibri" w:cs="Calibri"/>
          <w:bCs/>
          <w:szCs w:val="20"/>
        </w:rPr>
      </w:pPr>
      <w:r>
        <w:rPr>
          <w:rFonts w:hint="default" w:ascii="Calibri" w:hAnsi="Calibri" w:cs="Calibri"/>
          <w:bCs/>
          <w:szCs w:val="20"/>
        </w:rPr>
        <w:t xml:space="preserve">c) Por fim, caso se trate de </w:t>
      </w:r>
      <w:r>
        <w:rPr>
          <w:rFonts w:hint="default" w:ascii="Calibri" w:hAnsi="Calibri" w:cs="Calibri"/>
          <w:b/>
          <w:szCs w:val="20"/>
        </w:rPr>
        <w:t>contratação emergencial,</w:t>
      </w:r>
      <w:r>
        <w:rPr>
          <w:rFonts w:hint="default" w:ascii="Calibri" w:hAnsi="Calibri" w:cs="Calibri"/>
          <w:bCs/>
          <w:szCs w:val="20"/>
        </w:rPr>
        <w:t xml:space="preserve"> a vigência é regida pelo art. 75, VIII, estando limitada a um ano da emergência e não sendo passível de prorrogação.</w:t>
      </w:r>
    </w:p>
    <w:p>
      <w:pPr>
        <w:pStyle w:val="42"/>
        <w:spacing w:before="0" w:line="276" w:lineRule="auto"/>
        <w:rPr>
          <w:rFonts w:hint="default" w:ascii="Calibri" w:hAnsi="Calibri" w:cs="Calibri"/>
          <w:bCs/>
          <w:szCs w:val="20"/>
        </w:rPr>
      </w:pPr>
      <w:r>
        <w:rPr>
          <w:rFonts w:hint="default" w:ascii="Calibri" w:hAnsi="Calibri" w:cs="Calibri"/>
          <w:bCs/>
          <w:szCs w:val="2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pPr>
        <w:pStyle w:val="42"/>
        <w:spacing w:before="0" w:line="276" w:lineRule="auto"/>
        <w:rPr>
          <w:rFonts w:hint="default" w:ascii="Calibri" w:hAnsi="Calibri" w:cs="Calibri"/>
          <w:b/>
          <w:szCs w:val="20"/>
        </w:rPr>
      </w:pPr>
    </w:p>
    <w:p>
      <w:pPr>
        <w:pStyle w:val="42"/>
        <w:spacing w:before="0" w:line="276" w:lineRule="auto"/>
        <w:rPr>
          <w:rFonts w:hint="default" w:ascii="Calibri" w:hAnsi="Calibri" w:cs="Calibri"/>
          <w:szCs w:val="20"/>
        </w:rPr>
      </w:pPr>
      <w:r>
        <w:rPr>
          <w:rFonts w:hint="default" w:ascii="Calibri" w:hAnsi="Calibri" w:cs="Calibri"/>
          <w:b/>
          <w:szCs w:val="20"/>
        </w:rPr>
        <w:t xml:space="preserve">Prazo de Vigência – arts. 106 e 107 – Serviço Contínuo: </w:t>
      </w:r>
      <w:r>
        <w:rPr>
          <w:rFonts w:hint="default" w:ascii="Calibri" w:hAnsi="Calibri" w:cs="Calibri"/>
          <w:szCs w:val="20"/>
        </w:rPr>
        <w:t>A definição de serviço contínuo consta no art. 6º, XV, da lei, sendo os serviços contratados para a manutenção da atividade administrativa, decorrentes de necessidades permanentes ou prolongadas.</w:t>
      </w:r>
    </w:p>
    <w:p>
      <w:pPr>
        <w:pStyle w:val="42"/>
        <w:spacing w:before="0" w:line="276" w:lineRule="auto"/>
        <w:rPr>
          <w:rFonts w:hint="default" w:ascii="Calibri" w:hAnsi="Calibri" w:cs="Calibri"/>
          <w:bCs/>
          <w:szCs w:val="20"/>
        </w:rPr>
      </w:pPr>
      <w:r>
        <w:rPr>
          <w:rFonts w:hint="default" w:ascii="Calibri" w:hAnsi="Calibri" w:cs="Calibri"/>
          <w:bCs/>
          <w:szCs w:val="20"/>
        </w:rPr>
        <w:t xml:space="preserve">A utilização do prazo de vigência plurianual no caso de serviço contínuo é condicionada ao ateste de maior vantagem econômica, a ser feito pela autoridade competente no processo respectivo, conforme art. 106, I, da Lei nº 14.133/21. </w:t>
      </w:r>
    </w:p>
    <w:p>
      <w:pPr>
        <w:pStyle w:val="42"/>
        <w:spacing w:before="0" w:line="276" w:lineRule="auto"/>
        <w:rPr>
          <w:rFonts w:hint="default" w:ascii="Calibri" w:hAnsi="Calibri" w:cs="Calibri"/>
          <w:szCs w:val="20"/>
        </w:rPr>
      </w:pPr>
      <w:r>
        <w:rPr>
          <w:rFonts w:hint="default" w:ascii="Calibri" w:hAnsi="Calibri" w:cs="Calibri"/>
          <w:bCs/>
          <w:szCs w:val="20"/>
        </w:rPr>
        <w:t xml:space="preserve">De acordo com o artigo 107 da Lei n. 14.133/2021, será possível que contratos de serviço contínuo sejam prorrogados por até 10 anos, desde que </w:t>
      </w:r>
      <w:r>
        <w:rPr>
          <w:rFonts w:hint="default" w:ascii="Calibri" w:hAnsi="Calibri" w:cs="Calibri"/>
          <w:szCs w:val="20"/>
        </w:rPr>
        <w:t>haja previsão no aviso de dispensa (ou, na ausência deste, no próprio contrato) e que a autoridade competente ateste que as condições e os preços permanecem vantajosos para a Administração, permitida a negociação com o contratado ou a extinção contratual sem ônus para qualquer das partes.</w:t>
      </w:r>
    </w:p>
    <w:p>
      <w:pPr>
        <w:pStyle w:val="42"/>
        <w:spacing w:before="0" w:line="276" w:lineRule="auto"/>
        <w:rPr>
          <w:rFonts w:hint="default" w:ascii="Calibri" w:hAnsi="Calibri" w:cs="Calibri"/>
          <w:b/>
          <w:szCs w:val="20"/>
        </w:rPr>
      </w:pPr>
    </w:p>
    <w:p>
      <w:pPr>
        <w:pStyle w:val="42"/>
        <w:spacing w:before="0" w:line="276" w:lineRule="auto"/>
        <w:rPr>
          <w:rFonts w:hint="default" w:ascii="Calibri" w:hAnsi="Calibri" w:cs="Calibri"/>
          <w:szCs w:val="20"/>
        </w:rPr>
      </w:pPr>
      <w:r>
        <w:rPr>
          <w:rFonts w:hint="default" w:ascii="Calibri" w:hAnsi="Calibri" w:cs="Calibri"/>
          <w:b/>
          <w:szCs w:val="20"/>
        </w:rPr>
        <w:t xml:space="preserve">Prazo de Vigência – art. 75, VIII – Dispensa Emergencial: </w:t>
      </w:r>
      <w:r>
        <w:rPr>
          <w:rFonts w:hint="default" w:ascii="Calibri" w:hAnsi="Calibri" w:cs="Calibri"/>
          <w:szCs w:val="20"/>
        </w:rPr>
        <w:t>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pPr>
        <w:pStyle w:val="42"/>
        <w:spacing w:before="0" w:line="276" w:lineRule="auto"/>
        <w:rPr>
          <w:rFonts w:hint="default" w:ascii="Calibri" w:hAnsi="Calibri" w:cs="Calibri"/>
          <w:szCs w:val="20"/>
        </w:rPr>
      </w:pPr>
      <w:r>
        <w:rPr>
          <w:rFonts w:hint="default" w:ascii="Calibri" w:hAnsi="Calibri" w:cs="Calibri"/>
          <w:szCs w:val="20"/>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pPr>
        <w:pStyle w:val="42"/>
        <w:spacing w:before="0" w:line="276" w:lineRule="auto"/>
        <w:rPr>
          <w:rFonts w:hint="default" w:ascii="Calibri" w:hAnsi="Calibri" w:cs="Calibri"/>
          <w:szCs w:val="20"/>
        </w:rPr>
      </w:pPr>
    </w:p>
    <w:p>
      <w:pPr>
        <w:pStyle w:val="42"/>
        <w:spacing w:before="0" w:line="276" w:lineRule="auto"/>
        <w:rPr>
          <w:rFonts w:hint="default" w:ascii="Calibri" w:hAnsi="Calibri" w:cs="Calibri"/>
          <w:szCs w:val="20"/>
        </w:rPr>
      </w:pPr>
      <w:r>
        <w:rPr>
          <w:rFonts w:hint="default" w:ascii="Calibri" w:hAnsi="Calibri" w:cs="Calibri"/>
          <w:b/>
          <w:szCs w:val="20"/>
        </w:rPr>
        <w:t xml:space="preserve">Vigência X Valores para fins de Dispensa de pequeno valor: </w:t>
      </w:r>
      <w:r>
        <w:rPr>
          <w:rFonts w:hint="default" w:ascii="Calibri" w:hAnsi="Calibri" w:cs="Calibri"/>
          <w:szCs w:val="20"/>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pPr>
        <w:pStyle w:val="42"/>
        <w:spacing w:before="0" w:line="276" w:lineRule="auto"/>
        <w:rPr>
          <w:rFonts w:hint="default" w:ascii="Calibri" w:hAnsi="Calibri" w:cs="Calibri"/>
          <w:szCs w:val="20"/>
        </w:rPr>
      </w:pPr>
      <w:r>
        <w:rPr>
          <w:rFonts w:hint="default" w:ascii="Calibri" w:hAnsi="Calibri" w:cs="Calibri"/>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pPr>
        <w:pStyle w:val="39"/>
        <w:spacing w:after="0" w:line="276" w:lineRule="auto"/>
        <w:ind w:left="716"/>
        <w:jc w:val="both"/>
        <w:rPr>
          <w:rFonts w:hint="default" w:ascii="Calibri" w:hAnsi="Calibri" w:cs="Calibri"/>
          <w:bCs/>
          <w:i/>
          <w:color w:val="FF0000"/>
          <w:sz w:val="20"/>
          <w:szCs w:val="20"/>
        </w:rPr>
      </w:pPr>
    </w:p>
    <w:p>
      <w:pPr>
        <w:rPr>
          <w:rFonts w:hint="default" w:ascii="Calibri" w:hAnsi="Calibri" w:cs="Calibri"/>
        </w:rPr>
      </w:pPr>
    </w:p>
    <w:p>
      <w:pPr>
        <w:pStyle w:val="43"/>
        <w:spacing w:before="0" w:after="0"/>
        <w:rPr>
          <w:rFonts w:hint="default" w:ascii="Calibri" w:hAnsi="Calibri" w:cs="Calibri"/>
          <w:bCs/>
          <w:sz w:val="20"/>
          <w:szCs w:val="20"/>
        </w:rPr>
      </w:pPr>
      <w:r>
        <w:rPr>
          <w:rFonts w:hint="default" w:ascii="Calibri" w:hAnsi="Calibri" w:cs="Calibri"/>
          <w:bCs/>
          <w:sz w:val="20"/>
          <w:szCs w:val="20"/>
        </w:rPr>
        <w:t xml:space="preserve">FUNDAMENTAÇÃO E DESCRIÇÃO DA NECESSIDADE DA CONTRATAÇÃO (art. 6º, inciso XXIII, alínea ‘b’ da Lei n. 14.133/2021). </w:t>
      </w:r>
    </w:p>
    <w:p>
      <w:pPr>
        <w:rPr>
          <w:rFonts w:hint="default" w:ascii="Calibri" w:hAnsi="Calibri" w:cs="Calibri"/>
        </w:rPr>
      </w:pPr>
    </w:p>
    <w:p>
      <w:pPr>
        <w:pStyle w:val="39"/>
        <w:numPr>
          <w:ilvl w:val="1"/>
          <w:numId w:val="7"/>
        </w:numPr>
        <w:spacing w:after="0" w:line="276" w:lineRule="auto"/>
        <w:jc w:val="both"/>
        <w:rPr>
          <w:rFonts w:hint="default" w:ascii="Calibri" w:hAnsi="Calibri" w:cs="Calibri"/>
          <w:sz w:val="20"/>
          <w:szCs w:val="20"/>
        </w:rPr>
      </w:pPr>
      <w:r>
        <w:rPr>
          <w:rFonts w:hint="default" w:ascii="Calibri" w:hAnsi="Calibri" w:cs="Calibri"/>
          <w:sz w:val="20"/>
          <w:szCs w:val="20"/>
        </w:rPr>
        <w:t>A Fundamentação da Contratação encontra-se pormenorizada em Tópico específico dos Estudos Técnicos Preliminares, apêndice deste Termo de Referência.</w:t>
      </w:r>
    </w:p>
    <w:p>
      <w:pPr>
        <w:pStyle w:val="39"/>
        <w:spacing w:after="0" w:line="276" w:lineRule="auto"/>
        <w:ind w:left="432"/>
        <w:jc w:val="both"/>
        <w:rPr>
          <w:rFonts w:hint="default" w:ascii="Calibri" w:hAnsi="Calibri" w:cs="Calibri"/>
          <w:sz w:val="20"/>
          <w:szCs w:val="20"/>
        </w:rPr>
      </w:pPr>
    </w:p>
    <w:p>
      <w:pPr>
        <w:pStyle w:val="42"/>
        <w:spacing w:before="0" w:line="276" w:lineRule="auto"/>
        <w:rPr>
          <w:rFonts w:hint="default" w:ascii="Calibri" w:hAnsi="Calibri" w:cs="Calibri"/>
        </w:rPr>
      </w:pPr>
      <w:r>
        <w:rPr>
          <w:rFonts w:hint="default" w:ascii="Calibri" w:hAnsi="Calibri" w:cs="Calibri"/>
          <w:b/>
          <w:bCs/>
        </w:rPr>
        <w:t>Nota Explicativa</w:t>
      </w:r>
      <w:r>
        <w:rPr>
          <w:rFonts w:hint="default" w:ascii="Calibri" w:hAnsi="Calibri" w:cs="Calibri"/>
        </w:rPr>
        <w:t>: De acordo com o artigo 6º, inciso XXIII, alínea ‘b’, da Lei n. 14.133/2021, a fundamentação da contratação é realizada mediante “referência aos estudos técnicos preliminares correspondentes ou, quando não for possível divulgar esses estudos, no extrato das partes que não contiverem informações sigilosas”.</w:t>
      </w:r>
    </w:p>
    <w:p>
      <w:pPr>
        <w:pStyle w:val="43"/>
        <w:numPr>
          <w:ilvl w:val="0"/>
          <w:numId w:val="0"/>
        </w:numPr>
        <w:spacing w:before="0" w:after="0"/>
        <w:ind w:left="360"/>
        <w:rPr>
          <w:rFonts w:hint="default" w:ascii="Calibri" w:hAnsi="Calibri" w:cs="Calibri"/>
          <w:bCs/>
          <w:sz w:val="20"/>
          <w:szCs w:val="20"/>
        </w:rPr>
      </w:pPr>
    </w:p>
    <w:p>
      <w:pPr>
        <w:pStyle w:val="43"/>
        <w:spacing w:before="0" w:after="0"/>
        <w:rPr>
          <w:rFonts w:hint="default" w:ascii="Calibri" w:hAnsi="Calibri" w:cs="Calibri"/>
          <w:bCs/>
          <w:sz w:val="20"/>
          <w:szCs w:val="20"/>
        </w:rPr>
      </w:pPr>
      <w:r>
        <w:rPr>
          <w:rFonts w:hint="default" w:ascii="Calibri" w:hAnsi="Calibri" w:cs="Calibri"/>
          <w:bCs/>
          <w:sz w:val="20"/>
          <w:szCs w:val="20"/>
        </w:rPr>
        <w:t>DESCRIÇÃO DA SOLUÇÃO COMO UM TODO CONSIDERADO O CICLO DE VIDA DO OBJETO (art. 6º, inciso XXIII, alínea ‘c’)</w:t>
      </w:r>
    </w:p>
    <w:p>
      <w:pPr>
        <w:rPr>
          <w:rFonts w:hint="default" w:ascii="Calibri" w:hAnsi="Calibri" w:cs="Calibri"/>
        </w:rPr>
      </w:pPr>
    </w:p>
    <w:p>
      <w:pPr>
        <w:pStyle w:val="39"/>
        <w:numPr>
          <w:ilvl w:val="1"/>
          <w:numId w:val="8"/>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A descrição da solução como um todo encontra-se pormenorizada em tópico específico dos Estudos Técnicos Preliminares, apêndice deste Termo de Referência.</w:t>
      </w:r>
    </w:p>
    <w:p>
      <w:pPr>
        <w:pStyle w:val="39"/>
        <w:spacing w:after="0" w:line="276" w:lineRule="auto"/>
        <w:ind w:left="432"/>
        <w:jc w:val="both"/>
        <w:rPr>
          <w:rFonts w:hint="default" w:ascii="Calibri" w:hAnsi="Calibri" w:cs="Calibri"/>
          <w:i/>
          <w:iCs/>
          <w:color w:val="FF0000"/>
          <w:sz w:val="20"/>
          <w:szCs w:val="20"/>
        </w:rPr>
      </w:pP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bCs/>
          <w:szCs w:val="20"/>
        </w:rPr>
        <w:t>Nota Explicativa 1:</w:t>
      </w:r>
      <w:r>
        <w:rPr>
          <w:rFonts w:hint="default" w:ascii="Calibri" w:hAnsi="Calibri" w:cs="Calibri"/>
          <w:szCs w:val="20"/>
        </w:rPr>
        <w:t xml:space="preserve"> O artigo 18, §1º, da Lei n. 14.133/2021, apregoa: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 xml:space="preserve"> § 1º O estudo técnico preliminar a que se refere o inciso I do </w:t>
      </w:r>
      <w:r>
        <w:rPr>
          <w:rStyle w:val="10"/>
          <w:rFonts w:hint="default" w:ascii="Calibri" w:hAnsi="Calibri" w:cs="Calibri"/>
          <w:szCs w:val="20"/>
        </w:rPr>
        <w:t xml:space="preserve">caput </w:t>
      </w:r>
      <w:r>
        <w:rPr>
          <w:rFonts w:hint="default" w:ascii="Calibri" w:hAnsi="Calibri" w:cs="Calibri"/>
          <w:szCs w:val="20"/>
        </w:rPr>
        <w:t xml:space="preserve">deste artigo deverá evidenciar o problema a ser resolvido e a sua melhor solução, de modo a permitir a avaliação da viabilidade técnica e econômica da contratação, e conterá os seguintes elementos: </w:t>
      </w:r>
    </w:p>
    <w:p>
      <w:pPr>
        <w:pStyle w:val="42"/>
        <w:pBdr>
          <w:bottom w:val="single" w:color="1F497D" w:sz="4" w:space="0"/>
        </w:pBdr>
        <w:spacing w:before="0" w:line="276" w:lineRule="auto"/>
        <w:rPr>
          <w:rFonts w:hint="default" w:ascii="Calibri" w:hAnsi="Calibri" w:cs="Calibri"/>
          <w:color w:val="000000" w:themeColor="text1"/>
          <w:szCs w:val="20"/>
          <w14:textFill>
            <w14:solidFill>
              <w14:schemeClr w14:val="tx1"/>
            </w14:solidFill>
          </w14:textFill>
        </w:rPr>
      </w:pPr>
      <w:r>
        <w:rPr>
          <w:rFonts w:hint="default" w:ascii="Calibri" w:hAnsi="Calibri" w:cs="Calibri"/>
          <w:color w:val="000000" w:themeColor="text1"/>
          <w:szCs w:val="20"/>
          <w14:textFill>
            <w14:solidFill>
              <w14:schemeClr w14:val="tx1"/>
            </w14:solidFill>
          </w14:textFill>
        </w:rPr>
        <w:t>(...)</w:t>
      </w:r>
    </w:p>
    <w:p>
      <w:pPr>
        <w:pStyle w:val="42"/>
        <w:pBdr>
          <w:bottom w:val="single" w:color="1F497D" w:sz="4" w:space="0"/>
        </w:pBdr>
        <w:spacing w:before="0" w:line="276" w:lineRule="auto"/>
        <w:rPr>
          <w:rFonts w:hint="default" w:ascii="Calibri" w:hAnsi="Calibri" w:cs="Calibri"/>
          <w:color w:val="000000" w:themeColor="text1"/>
          <w:szCs w:val="20"/>
          <w14:textFill>
            <w14:solidFill>
              <w14:schemeClr w14:val="tx1"/>
            </w14:solidFill>
          </w14:textFill>
        </w:rPr>
      </w:pPr>
      <w:r>
        <w:rPr>
          <w:rFonts w:hint="default" w:ascii="Calibri" w:hAnsi="Calibri" w:cs="Calibri"/>
          <w:color w:val="000000" w:themeColor="text1"/>
          <w:szCs w:val="20"/>
          <w14:textFill>
            <w14:solidFill>
              <w14:schemeClr w14:val="tx1"/>
            </w14:solidFill>
          </w14:textFill>
        </w:rPr>
        <w:t>VII - descrição da solução como um todo, inclusive das exigências relacionadas à manutenção e à assistência técnica, quando for o caso.</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Caso haja a necessidade de modificação da descrição em relação à originalmente feita nos estudos técnicos preliminares, recomenda-se ajustar a redação acima</w:t>
      </w:r>
    </w:p>
    <w:p>
      <w:pPr>
        <w:pStyle w:val="42"/>
        <w:pBdr>
          <w:bottom w:val="single" w:color="1F497D" w:sz="4" w:space="0"/>
        </w:pBdr>
        <w:spacing w:before="0" w:line="276" w:lineRule="auto"/>
        <w:rPr>
          <w:rFonts w:hint="default" w:ascii="Calibri" w:hAnsi="Calibri" w:cs="Calibri"/>
          <w:b/>
          <w:bCs/>
          <w:szCs w:val="20"/>
        </w:rPr>
      </w:pPr>
    </w:p>
    <w:p>
      <w:pPr>
        <w:pStyle w:val="42"/>
        <w:pBdr>
          <w:bottom w:val="single" w:color="1F497D" w:sz="4" w:space="0"/>
        </w:pBdr>
        <w:spacing w:before="0" w:line="276" w:lineRule="auto"/>
        <w:rPr>
          <w:rFonts w:hint="default" w:ascii="Calibri" w:hAnsi="Calibri" w:cs="Calibri"/>
          <w:color w:val="auto"/>
          <w:szCs w:val="20"/>
        </w:rPr>
      </w:pPr>
      <w:r>
        <w:rPr>
          <w:rFonts w:hint="default" w:ascii="Calibri" w:hAnsi="Calibri" w:cs="Calibri"/>
          <w:b/>
          <w:bCs/>
          <w:szCs w:val="20"/>
        </w:rPr>
        <w:t xml:space="preserve">Nota Explicativa 2: </w:t>
      </w:r>
      <w:r>
        <w:rPr>
          <w:rFonts w:hint="default" w:ascii="Calibri" w:hAnsi="Calibri" w:cs="Calibri"/>
          <w:szCs w:val="2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pPr>
        <w:pStyle w:val="42"/>
        <w:pBdr>
          <w:bottom w:val="single" w:color="1F497D" w:sz="4" w:space="0"/>
        </w:pBdr>
        <w:spacing w:before="0" w:line="276" w:lineRule="auto"/>
        <w:rPr>
          <w:rFonts w:hint="default" w:ascii="Calibri" w:hAnsi="Calibri" w:cs="Calibri"/>
          <w:b/>
          <w:bCs/>
          <w:szCs w:val="20"/>
        </w:rPr>
      </w:pPr>
    </w:p>
    <w:p>
      <w:pPr>
        <w:pStyle w:val="42"/>
        <w:pBdr>
          <w:bottom w:val="single" w:color="1F497D" w:sz="4" w:space="0"/>
        </w:pBdr>
        <w:spacing w:before="0" w:line="276" w:lineRule="auto"/>
        <w:rPr>
          <w:rFonts w:hint="default" w:ascii="Calibri" w:hAnsi="Calibri" w:cs="Calibri"/>
          <w:color w:val="FF0000"/>
          <w:szCs w:val="20"/>
        </w:rPr>
      </w:pPr>
      <w:r>
        <w:rPr>
          <w:rFonts w:hint="default" w:ascii="Calibri" w:hAnsi="Calibri" w:cs="Calibri"/>
          <w:b/>
          <w:bCs/>
          <w:szCs w:val="20"/>
        </w:rPr>
        <w:t xml:space="preserve">Nota Explicativa 3: </w:t>
      </w:r>
      <w:r>
        <w:rPr>
          <w:rFonts w:hint="default" w:ascii="Calibri" w:hAnsi="Calibri" w:cs="Calibri"/>
          <w:szCs w:val="20"/>
        </w:rPr>
        <w:t>O art. 6º, XXIII, “c” da Lei nº 14.133/21 dispõe que a descrição da solução como um todo deve considerar todo o ciclo de vida do objeto. Desse modo, a descrição da solução deve considerar não só suas características intrínsecas ao uso em si, mas também eventual sustentabilidade de sua produção, duração de sua utilização (se é menos ou mais durável) até a destinação final. Reitere-se: se a descrição contida no ETP não contiver esse ponto, deve ser complementada neste documento</w:t>
      </w:r>
      <w:r>
        <w:rPr>
          <w:rFonts w:hint="default" w:ascii="Calibri" w:hAnsi="Calibri" w:cs="Calibri"/>
          <w:color w:val="FF0000"/>
          <w:szCs w:val="20"/>
        </w:rPr>
        <w:t>.</w:t>
      </w:r>
    </w:p>
    <w:p>
      <w:pPr>
        <w:pStyle w:val="42"/>
        <w:pBdr>
          <w:bottom w:val="single" w:color="1F497D" w:sz="4" w:space="0"/>
        </w:pBdr>
        <w:spacing w:before="0" w:line="276" w:lineRule="auto"/>
        <w:rPr>
          <w:rFonts w:hint="default" w:ascii="Calibri" w:hAnsi="Calibri" w:cs="Calibri"/>
          <w:b/>
          <w:bCs/>
          <w:szCs w:val="20"/>
        </w:rPr>
      </w:pPr>
    </w:p>
    <w:p>
      <w:pPr>
        <w:pStyle w:val="42"/>
        <w:pBdr>
          <w:bottom w:val="single" w:color="1F497D" w:sz="4" w:space="0"/>
        </w:pBdr>
        <w:spacing w:before="0" w:line="276" w:lineRule="auto"/>
        <w:rPr>
          <w:rFonts w:hint="default" w:ascii="Calibri" w:hAnsi="Calibri" w:cs="Calibri"/>
          <w:color w:val="auto"/>
          <w:szCs w:val="20"/>
        </w:rPr>
      </w:pPr>
      <w:r>
        <w:rPr>
          <w:rFonts w:hint="default" w:ascii="Calibri" w:hAnsi="Calibri" w:cs="Calibri"/>
          <w:b/>
          <w:bCs/>
          <w:szCs w:val="20"/>
        </w:rPr>
        <w:t>Nota Explicativa 4:</w:t>
      </w:r>
      <w:r>
        <w:rPr>
          <w:rFonts w:hint="default" w:ascii="Calibri" w:hAnsi="Calibri" w:cs="Calibri"/>
          <w:szCs w:val="20"/>
        </w:rPr>
        <w:t xml:space="preserve"> O art. 47, I, da Lei n. 14.133/2021 estabelece que deve ser feita a padronização, “considerada a compatibilidade de especificações estéticas, técnicas ou de desempenho”. A Portaria SEGES/ME nº 938/2022 instituiu o catálogo eletrônico de padronização, o qual deverá ser consultado para verificar se a contratação almejada está contemplada em seus termos. Em existindo padronização aprovada, ela deverá ser considerada e eventual não-uso justificado nos autos.</w:t>
      </w:r>
    </w:p>
    <w:p>
      <w:pPr>
        <w:pStyle w:val="42"/>
        <w:pBdr>
          <w:bottom w:val="single" w:color="1F497D" w:sz="4" w:space="0"/>
        </w:pBdr>
        <w:spacing w:before="0" w:line="276" w:lineRule="auto"/>
        <w:rPr>
          <w:rFonts w:hint="default" w:ascii="Calibri" w:hAnsi="Calibri" w:cs="Calibri"/>
          <w:b/>
          <w:szCs w:val="20"/>
        </w:rPr>
      </w:pP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b/>
          <w:szCs w:val="20"/>
        </w:rPr>
        <w:t xml:space="preserve">Nota Explicativa 5: </w:t>
      </w:r>
      <w:r>
        <w:rPr>
          <w:rFonts w:hint="default" w:ascii="Calibri" w:hAnsi="Calibri" w:cs="Calibri"/>
          <w:szCs w:val="20"/>
        </w:rPr>
        <w:t>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Caso o Estudo Técnico Preliminar seja silente ou insuficiente a esse respeito, recomenda-se abrir tópico específico nesta seção sobre a matéria.</w:t>
      </w:r>
    </w:p>
    <w:p>
      <w:pPr>
        <w:pStyle w:val="42"/>
        <w:pBdr>
          <w:bottom w:val="single" w:color="1F497D" w:sz="4" w:space="0"/>
        </w:pBdr>
        <w:spacing w:before="0" w:line="276" w:lineRule="auto"/>
        <w:rPr>
          <w:rFonts w:hint="default" w:ascii="Calibri" w:hAnsi="Calibri" w:cs="Calibri"/>
          <w:szCs w:val="20"/>
        </w:rPr>
      </w:pPr>
      <w:r>
        <w:rPr>
          <w:rFonts w:hint="default" w:ascii="Calibri" w:hAnsi="Calibri" w:cs="Calibri"/>
          <w:szCs w:val="20"/>
        </w:rPr>
        <w:t>Vale registrar que a sustentabilidade pode incidir a partir de características do próprio objeto a ser contratado como também de outros modos, compilados no tópico “requisitos da contratação”, abaixo.</w:t>
      </w:r>
    </w:p>
    <w:p>
      <w:pPr>
        <w:pStyle w:val="43"/>
        <w:numPr>
          <w:ilvl w:val="0"/>
          <w:numId w:val="0"/>
        </w:numPr>
        <w:spacing w:before="0" w:after="0"/>
        <w:ind w:left="360"/>
        <w:rPr>
          <w:rFonts w:hint="default" w:ascii="Calibri" w:hAnsi="Calibri" w:cs="Calibri"/>
          <w:sz w:val="20"/>
          <w:szCs w:val="20"/>
        </w:rPr>
      </w:pPr>
    </w:p>
    <w:p>
      <w:pPr>
        <w:pStyle w:val="43"/>
        <w:spacing w:before="0" w:after="0"/>
        <w:rPr>
          <w:rFonts w:hint="default" w:ascii="Calibri" w:hAnsi="Calibri" w:cs="Calibri"/>
          <w:bCs/>
          <w:sz w:val="20"/>
          <w:szCs w:val="20"/>
        </w:rPr>
      </w:pPr>
      <w:r>
        <w:rPr>
          <w:rFonts w:hint="default" w:ascii="Calibri" w:hAnsi="Calibri" w:cs="Calibri"/>
          <w:bCs/>
          <w:sz w:val="20"/>
          <w:szCs w:val="20"/>
        </w:rPr>
        <w:t>REQUISITOS DA CONTRATAÇÃO (art. 6º, XXIII, alínea ‘d’ da Lei nº 14.133/21)</w:t>
      </w:r>
    </w:p>
    <w:p>
      <w:pPr>
        <w:rPr>
          <w:rFonts w:hint="default" w:ascii="Calibri" w:hAnsi="Calibri" w:cs="Calibri"/>
        </w:rPr>
      </w:pPr>
    </w:p>
    <w:p>
      <w:pPr>
        <w:pStyle w:val="42"/>
        <w:pBdr>
          <w:bottom w:val="single" w:color="1F497D" w:sz="4" w:space="0"/>
        </w:pBdr>
        <w:spacing w:before="0" w:line="276" w:lineRule="auto"/>
        <w:rPr>
          <w:rFonts w:hint="default" w:ascii="Calibri" w:hAnsi="Calibri" w:cs="Calibri"/>
        </w:rPr>
      </w:pPr>
      <w:r>
        <w:rPr>
          <w:rFonts w:hint="default" w:ascii="Calibri" w:hAnsi="Calibri" w:cs="Calibri"/>
          <w:b/>
          <w:bCs/>
        </w:rPr>
        <w:t xml:space="preserve">Nota Explicativa: </w:t>
      </w:r>
      <w:r>
        <w:rPr>
          <w:rFonts w:hint="default" w:ascii="Calibri" w:hAnsi="Calibri" w:cs="Calibri"/>
        </w:rPr>
        <w:t>Alguns requisitos de contratação tratados na lei foram abordados nesta cláusula do Termo de Referência. Isso não impede que outros requisitos de contratação, de caráter técnico, sejam inseridos pela área competente. Registre-se, apenas, que a documentação de habilitação técnica é objeto de cláusula específica deste Termo de Referência (FORMA E CRITÉRIOS DE SELEÇÃO DO FORNECEDOR), de modo que sua inclusão neste tópico seria redundante.</w:t>
      </w:r>
    </w:p>
    <w:p>
      <w:pPr>
        <w:pStyle w:val="39"/>
        <w:spacing w:after="0" w:line="276" w:lineRule="auto"/>
        <w:ind w:left="716"/>
        <w:jc w:val="both"/>
        <w:rPr>
          <w:rFonts w:hint="default" w:ascii="Calibri" w:hAnsi="Calibri" w:cs="Calibri"/>
          <w:i/>
          <w:iCs/>
          <w:sz w:val="20"/>
          <w:szCs w:val="20"/>
        </w:rPr>
      </w:pPr>
    </w:p>
    <w:p>
      <w:pPr>
        <w:pStyle w:val="39"/>
        <w:numPr>
          <w:ilvl w:val="1"/>
          <w:numId w:val="9"/>
        </w:numPr>
        <w:spacing w:after="0" w:line="276" w:lineRule="auto"/>
        <w:jc w:val="both"/>
        <w:rPr>
          <w:rFonts w:hint="default" w:ascii="Calibri" w:hAnsi="Calibri" w:eastAsia="Calibri" w:cs="Calibri"/>
          <w:sz w:val="20"/>
          <w:szCs w:val="20"/>
          <w:shd w:val="clear" w:color="auto" w:fill="FFFFFF"/>
        </w:rPr>
      </w:pPr>
      <w:r>
        <w:rPr>
          <w:rFonts w:hint="default" w:ascii="Calibri" w:hAnsi="Calibri" w:cs="Calibri"/>
          <w:i/>
          <w:iCs/>
          <w:sz w:val="20"/>
          <w:szCs w:val="20"/>
        </w:rPr>
        <w:t xml:space="preserve"> </w:t>
      </w:r>
      <w:r>
        <w:rPr>
          <w:rFonts w:hint="default" w:ascii="Calibri" w:hAnsi="Calibri" w:cs="Calibri"/>
          <w:i/>
          <w:iCs/>
          <w:color w:val="FF0000"/>
          <w:sz w:val="20"/>
          <w:szCs w:val="20"/>
        </w:rPr>
        <w:t>Além dos critérios de sustentabilidade eventualmente inseridos na descrição do objeto, devem ser atendidos os seguintes requisitos, que se baseiam no Guia Nacional de Contratações Sustentáveis:</w:t>
      </w:r>
    </w:p>
    <w:p>
      <w:pPr>
        <w:pStyle w:val="39"/>
        <w:numPr>
          <w:ilvl w:val="2"/>
          <w:numId w:val="9"/>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numPr>
          <w:ilvl w:val="2"/>
          <w:numId w:val="9"/>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spacing w:after="0" w:line="276" w:lineRule="auto"/>
        <w:ind w:left="1072"/>
        <w:jc w:val="both"/>
        <w:rPr>
          <w:rFonts w:hint="default" w:ascii="Calibri" w:hAnsi="Calibri" w:cs="Calibri"/>
          <w:i/>
          <w:iCs/>
          <w:color w:val="FF0000"/>
          <w:sz w:val="20"/>
          <w:szCs w:val="20"/>
        </w:rPr>
      </w:pP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1: </w:t>
      </w:r>
      <w:r>
        <w:rPr>
          <w:rFonts w:hint="default" w:ascii="Calibri" w:hAnsi="Calibri" w:eastAsia="MyriadPro-Regular" w:cs="Calibri"/>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contratação. Ainda que não constante do termo de referência, destaque-se que as contratações mediante pregão eletrônico deverão estar alinhadas com o Plano de Gestão e Logística Sustentável do órgão.</w:t>
      </w:r>
    </w:p>
    <w:p>
      <w:pPr>
        <w:pStyle w:val="42"/>
        <w:spacing w:before="0" w:line="276" w:lineRule="auto"/>
        <w:rPr>
          <w:rFonts w:hint="default" w:ascii="Calibri" w:hAnsi="Calibri" w:eastAsia="MyriadPro-Regular" w:cs="Calibri"/>
          <w:b/>
          <w:szCs w:val="20"/>
        </w:rPr>
      </w:pP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2: </w:t>
      </w:r>
      <w:r>
        <w:rPr>
          <w:rFonts w:hint="default" w:ascii="Calibri" w:hAnsi="Calibri" w:eastAsia="MyriadPro-Regular" w:cs="Calibri"/>
          <w:bCs/>
          <w:szCs w:val="20"/>
        </w:rPr>
        <w:t xml:space="preserve">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 </w:t>
      </w:r>
    </w:p>
    <w:p>
      <w:pPr>
        <w:pStyle w:val="42"/>
        <w:spacing w:before="0" w:line="276" w:lineRule="auto"/>
        <w:rPr>
          <w:rFonts w:hint="default" w:ascii="Calibri" w:hAnsi="Calibri" w:eastAsia="MyriadPro-Regular" w:cs="Calibri"/>
          <w:b/>
          <w:szCs w:val="20"/>
        </w:rPr>
      </w:pP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3: </w:t>
      </w:r>
      <w:r>
        <w:rPr>
          <w:rFonts w:hint="default" w:ascii="Calibri" w:hAnsi="Calibri" w:eastAsia="MyriadPro-Regular" w:cs="Calibri"/>
          <w:bCs/>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no site da AGU. </w:t>
      </w:r>
    </w:p>
    <w:p>
      <w:pPr>
        <w:pStyle w:val="42"/>
        <w:spacing w:before="0" w:line="276" w:lineRule="auto"/>
        <w:rPr>
          <w:rFonts w:hint="default" w:ascii="Calibri" w:hAnsi="Calibri" w:eastAsia="MyriadPro-Regular" w:cs="Calibri"/>
          <w:b/>
          <w:szCs w:val="20"/>
        </w:rPr>
      </w:pP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4: </w:t>
      </w:r>
      <w:r>
        <w:rPr>
          <w:rFonts w:hint="default" w:ascii="Calibri" w:hAnsi="Calibri" w:eastAsia="MyriadPro-Regular" w:cs="Calibri"/>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Cs/>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os interessados deverão comprovar o cumprimento desses critérios de sustentabilidade exigidos pela Administração.</w:t>
      </w:r>
    </w:p>
    <w:p>
      <w:pPr>
        <w:pStyle w:val="42"/>
        <w:spacing w:before="0" w:line="276" w:lineRule="auto"/>
        <w:rPr>
          <w:rFonts w:hint="default" w:ascii="Calibri" w:hAnsi="Calibri" w:eastAsia="MyriadPro-Regular" w:cs="Calibri"/>
          <w:b/>
          <w:szCs w:val="20"/>
        </w:rPr>
      </w:pP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5: </w:t>
      </w:r>
      <w:r>
        <w:rPr>
          <w:rFonts w:hint="default" w:ascii="Calibri" w:hAnsi="Calibri" w:eastAsia="MyriadPro-Regular" w:cs="Calibri"/>
          <w:bCs/>
          <w:szCs w:val="20"/>
        </w:rPr>
        <w:t>Nas aquisições e contratações governamentais, deve ser dada prioridade para produtos reciclados e recicláveis e para bens, serviços e obras que considerem critérios compatíveis com padrões de consumo sustentáveis (artigo 7º, XI, da Lei n. 12.305/2010 – Política Nacional de Resíduos Sólidos). Deve-se observar, também, a regulamentação a ser editada a luz da nova legislação.</w:t>
      </w:r>
    </w:p>
    <w:p>
      <w:pPr>
        <w:pStyle w:val="42"/>
        <w:spacing w:before="0" w:line="276" w:lineRule="auto"/>
        <w:rPr>
          <w:rFonts w:hint="default" w:ascii="Calibri" w:hAnsi="Calibri" w:eastAsia="MyriadPro-Regular" w:cs="Calibri"/>
          <w:b/>
          <w:szCs w:val="20"/>
        </w:rPr>
      </w:pPr>
    </w:p>
    <w:p>
      <w:pPr>
        <w:pStyle w:val="42"/>
        <w:spacing w:before="0" w:line="276" w:lineRule="auto"/>
        <w:rPr>
          <w:rFonts w:hint="default" w:ascii="Calibri" w:hAnsi="Calibri" w:eastAsia="MyriadPro-Regular" w:cs="Calibri"/>
          <w:bCs/>
          <w:szCs w:val="20"/>
        </w:rPr>
      </w:pPr>
      <w:r>
        <w:rPr>
          <w:rFonts w:hint="default" w:ascii="Calibri" w:hAnsi="Calibri" w:eastAsia="MyriadPro-Regular" w:cs="Calibri"/>
          <w:b/>
          <w:szCs w:val="20"/>
        </w:rPr>
        <w:t xml:space="preserve">Nota explicativa 6: </w:t>
      </w:r>
      <w:r>
        <w:rPr>
          <w:rFonts w:hint="default" w:ascii="Calibri" w:hAnsi="Calibri" w:eastAsia="MyriadPro-Regular" w:cs="Calibri"/>
          <w:bCs/>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pPr>
        <w:pStyle w:val="39"/>
        <w:spacing w:after="0" w:line="276" w:lineRule="auto"/>
        <w:ind w:left="716"/>
        <w:jc w:val="both"/>
        <w:rPr>
          <w:rFonts w:hint="default" w:ascii="Calibri" w:hAnsi="Calibri" w:cs="Calibri"/>
          <w:i/>
          <w:color w:val="FF0000"/>
          <w:sz w:val="20"/>
          <w:szCs w:val="20"/>
        </w:rPr>
      </w:pPr>
    </w:p>
    <w:p>
      <w:pPr>
        <w:pStyle w:val="39"/>
        <w:numPr>
          <w:ilvl w:val="1"/>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será admitida a subcontratação do objeto contratual.</w:t>
      </w:r>
    </w:p>
    <w:p>
      <w:pPr>
        <w:pStyle w:val="42"/>
        <w:spacing w:before="0" w:line="276" w:lineRule="auto"/>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pPr>
        <w:pStyle w:val="44"/>
        <w:spacing w:line="276" w:lineRule="auto"/>
        <w:ind w:left="425"/>
        <w:jc w:val="both"/>
        <w:rPr>
          <w:rFonts w:hint="default" w:ascii="Calibri" w:hAnsi="Calibri" w:cs="Calibri"/>
          <w:b/>
          <w:bCs/>
          <w:i/>
          <w:color w:val="FF0000"/>
          <w:sz w:val="20"/>
          <w:szCs w:val="20"/>
          <w:u w:val="single"/>
        </w:rPr>
      </w:pPr>
    </w:p>
    <w:p>
      <w:pPr>
        <w:pStyle w:val="44"/>
        <w:spacing w:line="276" w:lineRule="auto"/>
        <w:ind w:left="425"/>
        <w:jc w:val="both"/>
        <w:rPr>
          <w:rFonts w:hint="default" w:ascii="Calibri" w:hAnsi="Calibri" w:cs="Calibri"/>
          <w:b/>
          <w:bCs/>
          <w:i/>
          <w:color w:val="FF0000"/>
          <w:sz w:val="20"/>
          <w:szCs w:val="20"/>
          <w:u w:val="single"/>
        </w:rPr>
      </w:pPr>
      <w:r>
        <w:rPr>
          <w:rFonts w:hint="default" w:ascii="Calibri" w:hAnsi="Calibri" w:cs="Calibri"/>
          <w:b/>
          <w:bCs/>
          <w:i/>
          <w:color w:val="FF0000"/>
          <w:sz w:val="20"/>
          <w:szCs w:val="20"/>
          <w:u w:val="single"/>
        </w:rPr>
        <w:t>OU</w:t>
      </w:r>
    </w:p>
    <w:p>
      <w:pPr>
        <w:pStyle w:val="39"/>
        <w:spacing w:after="0" w:line="276" w:lineRule="auto"/>
        <w:ind w:left="716"/>
        <w:jc w:val="both"/>
        <w:rPr>
          <w:rFonts w:hint="default" w:ascii="Calibri" w:hAnsi="Calibri" w:cs="Calibri"/>
          <w:i/>
          <w:color w:val="FF0000"/>
          <w:sz w:val="20"/>
          <w:szCs w:val="20"/>
        </w:rPr>
      </w:pPr>
    </w:p>
    <w:p>
      <w:pPr>
        <w:pStyle w:val="39"/>
        <w:numPr>
          <w:ilvl w:val="1"/>
          <w:numId w:val="10"/>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É permitida a subcontratação parcial do objeto, até o limite de ......% (..... por cento) do valor total do contrato, nas seguintes condições:</w:t>
      </w:r>
    </w:p>
    <w:p>
      <w:pPr>
        <w:pStyle w:val="39"/>
        <w:numPr>
          <w:ilvl w:val="2"/>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 É vedada a subcontratação da parcela principal da obrigação, a qual consiste em: [...] (indicar qual é)</w:t>
      </w:r>
    </w:p>
    <w:p>
      <w:pPr>
        <w:pStyle w:val="39"/>
        <w:spacing w:after="0" w:line="276" w:lineRule="auto"/>
        <w:ind w:left="1072"/>
        <w:jc w:val="both"/>
        <w:rPr>
          <w:rFonts w:hint="default" w:ascii="Calibri" w:hAnsi="Calibri" w:cs="Calibri"/>
          <w:i/>
          <w:color w:val="FF0000"/>
          <w:sz w:val="20"/>
          <w:szCs w:val="20"/>
        </w:rPr>
      </w:pPr>
    </w:p>
    <w:p>
      <w:pPr>
        <w:pStyle w:val="42"/>
        <w:spacing w:before="0" w:line="276" w:lineRule="auto"/>
        <w:rPr>
          <w:rFonts w:hint="default" w:ascii="Calibri" w:hAnsi="Calibri" w:cs="Calibri"/>
          <w:szCs w:val="20"/>
        </w:rPr>
      </w:pPr>
      <w:r>
        <w:rPr>
          <w:rFonts w:hint="default" w:ascii="Calibri" w:hAnsi="Calibri" w:cs="Calibri"/>
          <w:b/>
          <w:iCs w:val="0"/>
          <w:szCs w:val="20"/>
        </w:rPr>
        <w:t xml:space="preserve">Nota Explicativa: </w:t>
      </w:r>
      <w:r>
        <w:rPr>
          <w:rFonts w:hint="default" w:ascii="Calibri" w:hAnsi="Calibri" w:cs="Calibri"/>
          <w:iCs w:val="0"/>
          <w:szCs w:val="20"/>
        </w:rPr>
        <w:t>A subcontratação parcial é permitida e deverá ser analisada pela Administração com base nas informações do estudo técnico preliminar, em cada caso concreto.</w:t>
      </w:r>
      <w:r>
        <w:rPr>
          <w:rFonts w:hint="default" w:ascii="Calibri" w:hAnsi="Calibri" w:cs="Calibri"/>
          <w:szCs w:val="20"/>
        </w:rPr>
        <w:t xml:space="preserve"> Caso admitida, o Termo de Referência deve estabelecer com detalhamento seus limites e condições, inclusive especificando quais parcelas do objeto poderão ser subcontratadas.</w:t>
      </w:r>
    </w:p>
    <w:p>
      <w:pPr>
        <w:pStyle w:val="39"/>
        <w:spacing w:after="0" w:line="276" w:lineRule="auto"/>
        <w:ind w:left="1072"/>
        <w:jc w:val="both"/>
        <w:rPr>
          <w:rFonts w:hint="default" w:ascii="Calibri" w:hAnsi="Calibri" w:cs="Calibri"/>
          <w:i/>
          <w:color w:val="FF0000"/>
          <w:sz w:val="20"/>
          <w:szCs w:val="20"/>
        </w:rPr>
      </w:pPr>
    </w:p>
    <w:p>
      <w:pPr>
        <w:pStyle w:val="39"/>
        <w:numPr>
          <w:ilvl w:val="2"/>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A subcontratação depende de autorização prévia do contratante, a quem incumbe avaliar se o subcontratado cumpre os requisitos de qualificação técnica necessários para a execução do objeto.</w:t>
      </w:r>
    </w:p>
    <w:p>
      <w:pPr>
        <w:pStyle w:val="39"/>
        <w:numPr>
          <w:ilvl w:val="2"/>
          <w:numId w:val="1"/>
        </w:numPr>
        <w:spacing w:after="0" w:line="276" w:lineRule="auto"/>
        <w:jc w:val="both"/>
        <w:rPr>
          <w:rFonts w:hint="default" w:ascii="Calibri" w:hAnsi="Calibri" w:cs="Calibri"/>
          <w:sz w:val="20"/>
          <w:szCs w:val="20"/>
        </w:rPr>
      </w:pPr>
      <w:r>
        <w:rPr>
          <w:rFonts w:hint="default" w:ascii="Calibri" w:hAnsi="Calibri" w:cs="Calibri"/>
          <w:i/>
          <w:color w:val="FF0000"/>
          <w:sz w:val="20"/>
          <w:szCs w:val="2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pPr>
        <w:pStyle w:val="39"/>
        <w:spacing w:after="0" w:line="276" w:lineRule="auto"/>
        <w:ind w:left="1072"/>
        <w:jc w:val="both"/>
        <w:rPr>
          <w:rFonts w:hint="default" w:ascii="Calibri" w:hAnsi="Calibri" w:cs="Calibri"/>
          <w:sz w:val="20"/>
          <w:szCs w:val="20"/>
        </w:rPr>
      </w:pPr>
    </w:p>
    <w:p>
      <w:pPr>
        <w:pStyle w:val="42"/>
        <w:spacing w:before="0" w:line="276" w:lineRule="auto"/>
        <w:rPr>
          <w:rFonts w:hint="default" w:ascii="Calibri" w:hAnsi="Calibri" w:cs="Calibri"/>
          <w:szCs w:val="20"/>
        </w:rPr>
      </w:pPr>
      <w:r>
        <w:rPr>
          <w:rFonts w:hint="default" w:ascii="Calibri" w:hAnsi="Calibri" w:cs="Calibri"/>
          <w:b/>
          <w:bCs/>
        </w:rPr>
        <w:t xml:space="preserve">Nota Explicativa: </w:t>
      </w:r>
      <w:r>
        <w:rPr>
          <w:rFonts w:hint="default" w:ascii="Calibri" w:hAnsi="Calibri" w:cs="Calibri"/>
        </w:rPr>
        <w:t>Em havendo a necessidade de inclusão de outras especificações técnicas quanto à subcontratação, deverão ser inseridas no tópico acima.</w:t>
      </w:r>
    </w:p>
    <w:p>
      <w:pPr>
        <w:pStyle w:val="39"/>
        <w:spacing w:after="0" w:line="276" w:lineRule="auto"/>
        <w:ind w:left="716"/>
        <w:jc w:val="both"/>
        <w:rPr>
          <w:rFonts w:hint="default" w:ascii="Calibri" w:hAnsi="Calibri" w:cs="Calibri"/>
          <w:i/>
          <w:color w:val="FF0000"/>
          <w:sz w:val="20"/>
          <w:szCs w:val="20"/>
        </w:rPr>
      </w:pPr>
    </w:p>
    <w:p>
      <w:pPr>
        <w:pStyle w:val="39"/>
        <w:numPr>
          <w:ilvl w:val="1"/>
          <w:numId w:val="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Não haverá exigência da garantia da contratação dos arts. 96 e seguintes da Lei nº 14.133/21, pelas razões abaixo justificadas:</w:t>
      </w:r>
    </w:p>
    <w:p>
      <w:pPr>
        <w:rPr>
          <w:rFonts w:hint="default" w:ascii="Calibri" w:hAnsi="Calibri" w:cs="Calibri"/>
          <w:b/>
          <w:bCs/>
          <w:color w:val="FF0000"/>
          <w:sz w:val="20"/>
          <w:szCs w:val="20"/>
          <w:u w:val="single"/>
        </w:rPr>
      </w:pPr>
    </w:p>
    <w:p>
      <w:pPr>
        <w:rPr>
          <w:rFonts w:hint="default" w:ascii="Calibri" w:hAnsi="Calibri" w:cs="Calibri"/>
          <w:b/>
          <w:bCs/>
          <w:color w:val="FF0000"/>
          <w:sz w:val="20"/>
          <w:szCs w:val="20"/>
          <w:u w:val="single"/>
        </w:rPr>
      </w:pPr>
      <w:r>
        <w:rPr>
          <w:rFonts w:hint="default" w:ascii="Calibri" w:hAnsi="Calibri" w:cs="Calibri"/>
          <w:b/>
          <w:bCs/>
          <w:color w:val="FF0000"/>
          <w:sz w:val="20"/>
          <w:szCs w:val="20"/>
          <w:u w:val="single"/>
        </w:rPr>
        <w:t>OU</w:t>
      </w:r>
    </w:p>
    <w:p>
      <w:pPr>
        <w:pStyle w:val="39"/>
        <w:numPr>
          <w:ilvl w:val="1"/>
          <w:numId w:val="11"/>
        </w:numPr>
        <w:spacing w:after="0" w:line="276" w:lineRule="auto"/>
        <w:jc w:val="both"/>
        <w:rPr>
          <w:rFonts w:hint="default" w:ascii="Calibri" w:hAnsi="Calibri" w:cs="Calibri"/>
          <w:b/>
          <w:bCs/>
          <w:sz w:val="20"/>
          <w:szCs w:val="20"/>
          <w:u w:val="single"/>
        </w:rPr>
      </w:pPr>
      <w:r>
        <w:rPr>
          <w:rFonts w:hint="default" w:ascii="Calibri" w:hAnsi="Calibri" w:cs="Calibri"/>
          <w:i/>
          <w:color w:val="FF0000"/>
          <w:sz w:val="20"/>
          <w:szCs w:val="20"/>
        </w:rPr>
        <w:t>Será exigida a garantia da contratação de que tratam os arts. 96 e seguintes da Lei nº 14.133/21, no percentual de ...% do valor contratual, conforme regras previstas no contrato.</w:t>
      </w:r>
    </w:p>
    <w:p>
      <w:pPr>
        <w:pStyle w:val="39"/>
        <w:numPr>
          <w:ilvl w:val="2"/>
          <w:numId w:val="11"/>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 xml:space="preserve">A garantia nas modalidades caução e fiança bancária deverá ser prestada em até ....... (.......) dias após a ................. (homologação do procedimento de dispensa eletrônica </w:t>
      </w:r>
      <w:r>
        <w:rPr>
          <w:rFonts w:hint="default" w:ascii="Calibri" w:hAnsi="Calibri" w:cs="Calibri"/>
          <w:b/>
          <w:bCs/>
          <w:i/>
          <w:iCs/>
          <w:color w:val="FF0000"/>
          <w:sz w:val="20"/>
          <w:szCs w:val="20"/>
        </w:rPr>
        <w:t>OU</w:t>
      </w:r>
      <w:r>
        <w:rPr>
          <w:rFonts w:hint="default" w:ascii="Calibri" w:hAnsi="Calibri" w:cs="Calibri"/>
          <w:i/>
          <w:iCs/>
          <w:color w:val="FF0000"/>
          <w:sz w:val="20"/>
          <w:szCs w:val="20"/>
        </w:rPr>
        <w:t xml:space="preserve"> notificação </w:t>
      </w:r>
      <w:r>
        <w:rPr>
          <w:rFonts w:hint="default" w:ascii="Calibri" w:hAnsi="Calibri" w:cs="Calibri"/>
          <w:b/>
          <w:bCs/>
          <w:i/>
          <w:iCs/>
          <w:color w:val="FF0000"/>
          <w:sz w:val="20"/>
          <w:szCs w:val="20"/>
        </w:rPr>
        <w:t>OU</w:t>
      </w:r>
      <w:r>
        <w:rPr>
          <w:rFonts w:hint="default" w:ascii="Calibri" w:hAnsi="Calibri" w:cs="Calibri"/>
          <w:i/>
          <w:iCs/>
          <w:color w:val="FF0000"/>
          <w:sz w:val="20"/>
          <w:szCs w:val="20"/>
        </w:rPr>
        <w:t xml:space="preserve"> assinatura do contrato etc.).</w:t>
      </w:r>
    </w:p>
    <w:p>
      <w:pPr>
        <w:pStyle w:val="39"/>
        <w:numPr>
          <w:ilvl w:val="2"/>
          <w:numId w:val="11"/>
        </w:numPr>
        <w:spacing w:after="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O seguro-garantia deverá ser apresentado, no máximo, até a data de assinatura do contrato.  </w:t>
      </w:r>
    </w:p>
    <w:p>
      <w:pPr>
        <w:pStyle w:val="39"/>
        <w:numPr>
          <w:ilvl w:val="2"/>
          <w:numId w:val="11"/>
        </w:numPr>
        <w:spacing w:after="0" w:line="276" w:lineRule="auto"/>
        <w:jc w:val="both"/>
        <w:rPr>
          <w:rFonts w:hint="default" w:ascii="Calibri" w:hAnsi="Calibri" w:cs="Calibri"/>
          <w:b/>
          <w:bCs/>
          <w:sz w:val="20"/>
          <w:szCs w:val="20"/>
          <w:u w:val="single"/>
        </w:rPr>
      </w:pPr>
      <w:r>
        <w:rPr>
          <w:rFonts w:hint="default" w:ascii="Calibri" w:hAnsi="Calibri" w:cs="Calibri"/>
          <w:i/>
          <w:color w:val="FF0000"/>
          <w:sz w:val="20"/>
          <w:szCs w:val="20"/>
        </w:rPr>
        <w:t>A garantia ofertada, qualquer que seja a modalidade eleita, deverá possuir cobertura para verbas rescisórias inadimplidas.</w:t>
      </w:r>
    </w:p>
    <w:p>
      <w:pPr>
        <w:pStyle w:val="42"/>
        <w:spacing w:line="276" w:lineRule="auto"/>
        <w:rPr>
          <w:rFonts w:hint="default" w:ascii="Calibri" w:hAnsi="Calibri" w:cs="Calibri"/>
          <w:color w:val="auto"/>
          <w:szCs w:val="20"/>
        </w:rPr>
      </w:pPr>
      <w:r>
        <w:rPr>
          <w:rFonts w:hint="default" w:ascii="Calibri" w:hAnsi="Calibri" w:cs="Calibri"/>
          <w:b/>
          <w:bCs/>
          <w:szCs w:val="20"/>
        </w:rPr>
        <w:t xml:space="preserve">Nota Explicativa 1: </w:t>
      </w:r>
      <w:r>
        <w:rPr>
          <w:rFonts w:hint="default" w:ascii="Calibri" w:hAnsi="Calibri" w:cs="Calibri"/>
          <w:szCs w:val="20"/>
        </w:rPr>
        <w:t xml:space="preserve">Neste momento, a área técnica competente deverá indicar se a contratação utilizará a garantia de execução ou não. Note-se que não consta da Lei n.º 14.133/2021 qualquer previsão de obrigatoriedade de prestação de garantia em relação aos </w:t>
      </w:r>
      <w:r>
        <w:rPr>
          <w:rFonts w:hint="default" w:ascii="Calibri" w:hAnsi="Calibri" w:cs="Calibri"/>
          <w:color w:val="auto"/>
          <w:szCs w:val="20"/>
        </w:rPr>
        <w:t xml:space="preserve">contratos que envolvam a execução de serviços continuados com dedicação exclusiva de mão de obra, ao contrário do que estabeleciam o art. 8º, VI, do Decreto nº 9.507, de 2018, e o item 3 do Anexo VII-F da Instrução Normativa SEGES/MP n.º 05/2017. </w:t>
      </w:r>
    </w:p>
    <w:p>
      <w:pPr>
        <w:pStyle w:val="42"/>
        <w:spacing w:line="276" w:lineRule="auto"/>
        <w:rPr>
          <w:rFonts w:hint="default" w:ascii="Calibri" w:hAnsi="Calibri" w:cs="Calibri"/>
          <w:color w:val="auto"/>
          <w:szCs w:val="20"/>
        </w:rPr>
      </w:pPr>
      <w:r>
        <w:rPr>
          <w:rFonts w:hint="default" w:ascii="Calibri" w:hAnsi="Calibri" w:cs="Calibri"/>
          <w:color w:val="auto"/>
          <w:szCs w:val="20"/>
        </w:rPr>
        <w:t xml:space="preserve">Nada obstante, considerando que, nesse tipo de serviço, a Administração responderá solidariamente pelos encargos previdenciários e subsidiariamente pelos encargos trabalhistas se comprovada falha na fiscalização do cumprimento das obrigações do contratado (art. 121, § 2º, Lei n.º 14.133/2021), a exigência de garantia de execução contratual assume especial relevância como medida apta a resguardar o interesse da Administração e dos trabalhadores envolvidos na execução contratual. </w:t>
      </w:r>
    </w:p>
    <w:p>
      <w:pPr>
        <w:pStyle w:val="42"/>
        <w:spacing w:line="276" w:lineRule="auto"/>
        <w:rPr>
          <w:rFonts w:hint="default" w:ascii="Calibri" w:hAnsi="Calibri" w:cs="Calibri"/>
          <w:color w:val="auto"/>
          <w:szCs w:val="20"/>
        </w:rPr>
      </w:pPr>
      <w:r>
        <w:rPr>
          <w:rFonts w:hint="default" w:ascii="Calibri" w:hAnsi="Calibri" w:cs="Calibri"/>
          <w:color w:val="auto"/>
          <w:szCs w:val="20"/>
        </w:rPr>
        <w:t xml:space="preserve">Trata-se, portanto, de providência altamente recomendável a ser adotada nos contratos executados com mão de obra em regime de dedicação exclusiva, devendo ser apresentadas justificativas robustas e específicas pelo órgão contratante para eventual não exigência de garantia nessas situações. </w:t>
      </w:r>
    </w:p>
    <w:p>
      <w:pPr>
        <w:pStyle w:val="42"/>
        <w:spacing w:line="276" w:lineRule="auto"/>
        <w:rPr>
          <w:rFonts w:hint="default" w:ascii="Calibri" w:hAnsi="Calibri" w:cs="Calibri"/>
          <w:szCs w:val="20"/>
        </w:rPr>
      </w:pPr>
      <w:r>
        <w:rPr>
          <w:rFonts w:hint="default" w:ascii="Calibri" w:hAnsi="Calibri" w:cs="Calibri"/>
          <w:color w:val="auto"/>
          <w:szCs w:val="20"/>
        </w:rPr>
        <w:t>Caso seja exigida a garantia, deve-se atentar para o disposto no art. 121, § 3º, inciso I, da Lei n.º 14.133/2021, que permite à Administração contratante, n</w:t>
      </w:r>
      <w:r>
        <w:rPr>
          <w:rFonts w:hint="default" w:ascii="Calibri" w:hAnsi="Calibri" w:cs="Calibri"/>
          <w:szCs w:val="20"/>
        </w:rPr>
        <w:t xml:space="preserve">as contratações de serviços contínuos com regime de dedicação exclusiva de mão de obra, “exigir caução, fiança bancária ou contratação de seguro-garantia com cobertura para verbas rescisórias inadimplidas”, a fim de assegurar o cumprimento de obrigações trabalhistas pelo contratado. </w:t>
      </w:r>
    </w:p>
    <w:p>
      <w:pPr>
        <w:pStyle w:val="42"/>
        <w:spacing w:line="276" w:lineRule="auto"/>
        <w:rPr>
          <w:rFonts w:hint="default" w:ascii="Calibri" w:hAnsi="Calibri" w:cs="Calibri"/>
          <w:color w:val="auto"/>
          <w:szCs w:val="20"/>
        </w:rPr>
      </w:pPr>
      <w:bookmarkStart w:id="1" w:name="art121§3i"/>
      <w:bookmarkEnd w:id="1"/>
      <w:r>
        <w:rPr>
          <w:rFonts w:hint="default" w:ascii="Calibri" w:hAnsi="Calibri" w:cs="Calibri"/>
          <w:szCs w:val="20"/>
        </w:rPr>
        <w:t>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pPr>
        <w:pStyle w:val="42"/>
        <w:spacing w:line="276" w:lineRule="auto"/>
        <w:rPr>
          <w:rFonts w:hint="default" w:ascii="Calibri" w:hAnsi="Calibri" w:cs="Calibri"/>
          <w:color w:val="auto"/>
          <w:szCs w:val="20"/>
        </w:rPr>
      </w:pPr>
      <w:r>
        <w:rPr>
          <w:rFonts w:hint="default" w:ascii="Calibri" w:hAnsi="Calibri" w:cs="Calibri"/>
          <w:b/>
          <w:color w:val="auto"/>
          <w:szCs w:val="20"/>
        </w:rPr>
        <w:t>Nota explicativa 2</w:t>
      </w:r>
      <w:r>
        <w:rPr>
          <w:rFonts w:hint="default" w:ascii="Calibri" w:hAnsi="Calibri" w:cs="Calibri"/>
          <w:color w:val="auto"/>
          <w:szCs w:val="20"/>
        </w:rPr>
        <w:t>: O percentual da garantia será de:</w:t>
      </w:r>
    </w:p>
    <w:p>
      <w:pPr>
        <w:pStyle w:val="42"/>
        <w:spacing w:line="276" w:lineRule="auto"/>
        <w:rPr>
          <w:rFonts w:hint="default" w:ascii="Calibri" w:hAnsi="Calibri" w:cs="Calibri"/>
          <w:color w:val="auto"/>
          <w:szCs w:val="20"/>
        </w:rPr>
      </w:pPr>
      <w:r>
        <w:rPr>
          <w:rFonts w:hint="default" w:ascii="Calibri" w:hAnsi="Calibri" w:cs="Calibri"/>
          <w:color w:val="auto"/>
          <w:szCs w:val="20"/>
        </w:rPr>
        <w:t>a) até 5% (cinco por cento) do valor inicial do contrato, para contratações em geral;</w:t>
      </w:r>
    </w:p>
    <w:p>
      <w:pPr>
        <w:pStyle w:val="42"/>
        <w:spacing w:line="276" w:lineRule="auto"/>
        <w:rPr>
          <w:rFonts w:hint="default" w:ascii="Calibri" w:hAnsi="Calibri" w:cs="Calibri"/>
          <w:color w:val="auto"/>
          <w:szCs w:val="20"/>
        </w:rPr>
      </w:pPr>
      <w:r>
        <w:rPr>
          <w:rFonts w:hint="default" w:ascii="Calibri" w:hAnsi="Calibri" w:cs="Calibri"/>
          <w:color w:val="auto"/>
          <w:szCs w:val="20"/>
        </w:rPr>
        <w:t>b) até 10% (dez por cento) do valor inicial do contrato, nos casos de alta complexidade técnica e riscos envolvidos, caso em que deverá haver justificativa específica nos autos;</w:t>
      </w:r>
    </w:p>
    <w:p>
      <w:pPr>
        <w:pStyle w:val="42"/>
        <w:spacing w:line="276" w:lineRule="auto"/>
        <w:rPr>
          <w:rFonts w:hint="default" w:ascii="Calibri" w:hAnsi="Calibri" w:cs="Calibri"/>
          <w:color w:val="auto"/>
          <w:szCs w:val="20"/>
        </w:rPr>
      </w:pPr>
      <w:r>
        <w:rPr>
          <w:rFonts w:hint="default" w:ascii="Calibri" w:hAnsi="Calibri" w:cs="Calibri"/>
          <w:color w:val="auto"/>
          <w:szCs w:val="20"/>
        </w:rPr>
        <w:t>c) até 30% (trinta por cento) do valor inicial do contrato, na modalidade seguro-garantia, com cláusula de retomada, nas contratações de obras e serviços de engenharia de grande vulto (acima de R$ 216.081.640,00, cf. art. 6º, XXII, e 182, ambos da Lei nº 14.133/2021 c/c Decreto nº 10.922, de 2021 [Nesse caso, o aviso de dispensa eletrônica deverá observar os requisitos do art. 102 da Lei nº 14.133/2021];</w:t>
      </w:r>
    </w:p>
    <w:p>
      <w:pPr>
        <w:pStyle w:val="42"/>
        <w:spacing w:line="276" w:lineRule="auto"/>
        <w:rPr>
          <w:rFonts w:hint="default" w:ascii="Calibri" w:hAnsi="Calibri" w:cs="Calibri"/>
          <w:color w:val="auto"/>
          <w:szCs w:val="20"/>
        </w:rPr>
      </w:pPr>
      <w:r>
        <w:rPr>
          <w:rFonts w:hint="default" w:ascii="Calibri" w:hAnsi="Calibri" w:cs="Calibri"/>
          <w:color w:val="auto"/>
          <w:szCs w:val="20"/>
        </w:rPr>
        <w:t>d) ser acrescido de garantia adicional aos percentuais citados anteriormente, em casos de previsão de antecipação de pagamento, nos termos do art. 145, § 2º, da Lei nº 14.133/2021.</w:t>
      </w:r>
    </w:p>
    <w:p>
      <w:pPr>
        <w:pStyle w:val="42"/>
        <w:spacing w:line="276" w:lineRule="auto"/>
        <w:rPr>
          <w:rFonts w:hint="default" w:ascii="Calibri" w:hAnsi="Calibri" w:cs="Calibri"/>
          <w:color w:val="auto"/>
          <w:szCs w:val="20"/>
        </w:rPr>
      </w:pPr>
      <w:r>
        <w:rPr>
          <w:rFonts w:hint="default" w:ascii="Calibri" w:hAnsi="Calibri" w:cs="Calibri"/>
          <w:color w:val="auto"/>
          <w:szCs w:val="20"/>
        </w:rPr>
        <w:t>e) ser acrescido do valor equivalente à diferença entre 85% do valor orçado pela Administração e o valor da proposta vencedora, no caso de contratações de obras e serviços de engenharia, nos termos do art. 59, § 5º, da lei nº 14.133, de 2021.</w:t>
      </w:r>
    </w:p>
    <w:p>
      <w:pPr>
        <w:pStyle w:val="42"/>
        <w:spacing w:line="276" w:lineRule="auto"/>
        <w:rPr>
          <w:rFonts w:hint="default" w:ascii="Calibri" w:hAnsi="Calibri" w:cs="Calibri"/>
          <w:bCs/>
          <w:szCs w:val="20"/>
        </w:rPr>
      </w:pPr>
      <w:r>
        <w:rPr>
          <w:rFonts w:hint="default" w:ascii="Calibri" w:hAnsi="Calibri" w:cs="Calibri"/>
          <w:b/>
          <w:bCs/>
          <w:szCs w:val="20"/>
        </w:rPr>
        <w:t xml:space="preserve">Nota explicativa 3: </w:t>
      </w:r>
      <w:r>
        <w:rPr>
          <w:rFonts w:hint="default" w:ascii="Calibri" w:hAnsi="Calibri" w:cs="Calibri"/>
          <w:bCs/>
          <w:szCs w:val="2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pPr>
        <w:pStyle w:val="39"/>
        <w:spacing w:after="0" w:line="276" w:lineRule="auto"/>
        <w:ind w:left="432"/>
        <w:jc w:val="both"/>
        <w:rPr>
          <w:rFonts w:hint="default" w:ascii="Calibri" w:hAnsi="Calibri" w:cs="Calibri"/>
          <w:sz w:val="20"/>
          <w:szCs w:val="20"/>
        </w:rPr>
      </w:pPr>
    </w:p>
    <w:p>
      <w:pPr>
        <w:pStyle w:val="39"/>
        <w:numPr>
          <w:ilvl w:val="1"/>
          <w:numId w:val="11"/>
        </w:numPr>
        <w:spacing w:after="0" w:line="276" w:lineRule="auto"/>
        <w:jc w:val="both"/>
        <w:rPr>
          <w:rFonts w:hint="default" w:ascii="Calibri" w:hAnsi="Calibri" w:cs="Calibri"/>
          <w:sz w:val="20"/>
          <w:szCs w:val="20"/>
        </w:rPr>
      </w:pPr>
      <w:r>
        <w:rPr>
          <w:rFonts w:hint="default" w:ascii="Calibri" w:hAnsi="Calibri" w:cs="Calibri"/>
          <w:i/>
          <w:color w:val="FF0000"/>
          <w:sz w:val="20"/>
          <w:szCs w:val="20"/>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pPr>
        <w:pStyle w:val="42"/>
        <w:spacing w:line="276" w:lineRule="auto"/>
        <w:rPr>
          <w:rFonts w:hint="default" w:ascii="Calibri" w:hAnsi="Calibri" w:cs="Calibri"/>
          <w:color w:val="auto"/>
          <w:szCs w:val="20"/>
        </w:rPr>
      </w:pPr>
      <w:r>
        <w:rPr>
          <w:rFonts w:hint="default" w:ascii="Calibri" w:hAnsi="Calibri" w:cs="Calibri"/>
          <w:b/>
          <w:bCs/>
          <w:color w:val="auto"/>
          <w:szCs w:val="20"/>
        </w:rPr>
        <w:t xml:space="preserve">Nota Explicativa: </w:t>
      </w:r>
      <w:r>
        <w:rPr>
          <w:rFonts w:hint="default" w:ascii="Calibri" w:hAnsi="Calibri" w:cs="Calibri"/>
          <w:color w:val="auto"/>
          <w:szCs w:val="20"/>
        </w:rPr>
        <w:t>Insira abaixo, se for o caso, outros requisitos necessários para o atendimento da demanda que gerou a contratação em tela.</w:t>
      </w:r>
    </w:p>
    <w:p>
      <w:pPr>
        <w:pStyle w:val="39"/>
        <w:numPr>
          <w:ilvl w:val="1"/>
          <w:numId w:val="11"/>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pStyle w:val="39"/>
        <w:suppressAutoHyphens/>
        <w:spacing w:after="120" w:line="240" w:lineRule="auto"/>
        <w:ind w:left="716"/>
        <w:jc w:val="both"/>
        <w:rPr>
          <w:rFonts w:hint="default" w:ascii="Calibri" w:hAnsi="Calibri" w:cs="Calibri"/>
          <w:i/>
          <w:iCs/>
          <w:color w:val="FF0000"/>
          <w:sz w:val="20"/>
          <w:szCs w:val="20"/>
        </w:rPr>
      </w:pPr>
    </w:p>
    <w:p>
      <w:pPr>
        <w:pStyle w:val="43"/>
        <w:spacing w:before="0" w:after="0"/>
        <w:rPr>
          <w:rFonts w:hint="default" w:ascii="Calibri" w:hAnsi="Calibri" w:cs="Calibri"/>
          <w:i/>
          <w:color w:val="FF0000"/>
          <w:sz w:val="20"/>
          <w:szCs w:val="20"/>
        </w:rPr>
      </w:pPr>
      <w:r>
        <w:rPr>
          <w:rFonts w:hint="default" w:ascii="Calibri" w:hAnsi="Calibri" w:cs="Calibri"/>
          <w:i/>
          <w:color w:val="FF0000"/>
          <w:sz w:val="20"/>
          <w:szCs w:val="20"/>
        </w:rPr>
        <w:t>VISTORIA</w:t>
      </w:r>
    </w:p>
    <w:p>
      <w:pPr>
        <w:pStyle w:val="39"/>
        <w:suppressAutoHyphens/>
        <w:spacing w:after="120" w:line="240" w:lineRule="auto"/>
        <w:ind w:left="716"/>
        <w:jc w:val="both"/>
        <w:rPr>
          <w:rFonts w:hint="default" w:ascii="Calibri" w:hAnsi="Calibri" w:cs="Calibri"/>
          <w:b/>
          <w:i/>
          <w:iCs/>
          <w:color w:val="000000" w:themeColor="text1"/>
          <w:sz w:val="20"/>
          <w:szCs w:val="20"/>
          <w14:textFill>
            <w14:solidFill>
              <w14:schemeClr w14:val="tx1"/>
            </w14:solidFill>
          </w14:textFill>
        </w:rPr>
      </w:pPr>
    </w:p>
    <w:p>
      <w:pPr>
        <w:pStyle w:val="39"/>
        <w:numPr>
          <w:ilvl w:val="1"/>
          <w:numId w:val="12"/>
        </w:numPr>
        <w:spacing w:line="276" w:lineRule="auto"/>
        <w:jc w:val="both"/>
        <w:rPr>
          <w:rFonts w:hint="default" w:ascii="Calibri" w:hAnsi="Calibri" w:cs="Calibri"/>
          <w:color w:val="FF0000"/>
          <w:sz w:val="20"/>
          <w:szCs w:val="20"/>
        </w:rPr>
      </w:pPr>
      <w:r>
        <w:rPr>
          <w:rFonts w:hint="default" w:ascii="Calibri" w:hAnsi="Calibri" w:cs="Calibri"/>
          <w:i/>
          <w:iCs/>
          <w:color w:val="FF0000"/>
          <w:sz w:val="20"/>
          <w:szCs w:val="20"/>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r>
        <w:rPr>
          <w:rFonts w:hint="default" w:ascii="Calibri" w:hAnsi="Calibri" w:cs="Calibri"/>
          <w:color w:val="FF0000"/>
          <w:sz w:val="20"/>
          <w:szCs w:val="20"/>
        </w:rPr>
        <w:t> </w:t>
      </w:r>
    </w:p>
    <w:p>
      <w:pPr>
        <w:pStyle w:val="39"/>
        <w:numPr>
          <w:ilvl w:val="1"/>
          <w:numId w:val="12"/>
        </w:numPr>
        <w:spacing w:line="276" w:lineRule="auto"/>
        <w:rPr>
          <w:rFonts w:hint="default" w:ascii="Calibri" w:hAnsi="Calibri" w:cs="Calibri"/>
          <w:color w:val="FF0000"/>
          <w:sz w:val="20"/>
          <w:szCs w:val="20"/>
        </w:rPr>
      </w:pPr>
      <w:r>
        <w:rPr>
          <w:rFonts w:hint="default" w:ascii="Calibri" w:hAnsi="Calibri" w:cs="Calibri"/>
          <w:i/>
          <w:iCs/>
          <w:color w:val="FF0000"/>
          <w:sz w:val="20"/>
          <w:szCs w:val="20"/>
        </w:rPr>
        <w:t>Serão disponibilizados data e horário diferentes aos interessados em realizar a vistoria prévia.</w:t>
      </w:r>
      <w:r>
        <w:rPr>
          <w:rFonts w:hint="default" w:ascii="Calibri" w:hAnsi="Calibri" w:cs="Calibri"/>
          <w:color w:val="FF0000"/>
          <w:sz w:val="20"/>
          <w:szCs w:val="20"/>
        </w:rPr>
        <w:t> </w:t>
      </w:r>
    </w:p>
    <w:p>
      <w:pPr>
        <w:pStyle w:val="42"/>
        <w:pBdr>
          <w:bottom w:val="single" w:color="1F497D" w:sz="4" w:space="0"/>
        </w:pBdr>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Na linha do entendimento consolidado pelo TCU ainda sob o amparo da Lei nº 8.666, de 1993 (por exemplo, Acórdãos n° 2.150/2008, n° 1.599/2010, n° 2.266/2011, n° 2.776/2011, n° 110/2012 e nº 170/2018, todos do Plenário), o art. 63, § 2º, da Lei nº 14.133, de 2021,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(art. 63, §3º). </w:t>
      </w:r>
    </w:p>
    <w:p>
      <w:pPr>
        <w:pStyle w:val="42"/>
        <w:pBdr>
          <w:bottom w:val="single" w:color="1F497D" w:sz="4" w:space="0"/>
        </w:pBdr>
        <w:rPr>
          <w:rFonts w:hint="default" w:ascii="Calibri" w:hAnsi="Calibri" w:cs="Calibri"/>
          <w:szCs w:val="20"/>
        </w:rPr>
      </w:pPr>
      <w:r>
        <w:rPr>
          <w:rFonts w:hint="default" w:ascii="Calibri" w:hAnsi="Calibri" w:cs="Calibri"/>
          <w:szCs w:val="20"/>
        </w:rPr>
        <w:t>Nesse contexto, uma vez facultada a realização da vistoria prévia no Termo de Referência, os interessados terão três opções para cumprir o requisito de habilitação correspondente, conforme §§2º e 3º do art. 63, da Lei nº 14.133, de 2021, a saber:</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a) realizar a vistoria e atestar que conhece o local e as condições da realização da obra ou serviço; </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b) atestar que conhece o local e as condições da realização da obra ou serviço; </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c) declarar formalmente, por meio do respectivo responsável técnico, que possui conhecimento pleno das condições e peculiaridades da contratação. </w:t>
      </w:r>
    </w:p>
    <w:p>
      <w:pPr>
        <w:pStyle w:val="42"/>
        <w:pBdr>
          <w:bottom w:val="single" w:color="1F497D" w:sz="4" w:space="0"/>
        </w:pBdr>
        <w:rPr>
          <w:rFonts w:hint="default" w:ascii="Calibri" w:hAnsi="Calibri" w:cs="Calibri"/>
          <w:szCs w:val="20"/>
        </w:rPr>
      </w:pPr>
      <w:r>
        <w:rPr>
          <w:rFonts w:hint="default" w:ascii="Calibri" w:hAnsi="Calibri" w:cs="Calibri"/>
          <w:szCs w:val="20"/>
        </w:rPr>
        <w:t>A hipótese “a” dispensa maiores comentários, a não ser o de que é o próprio fornecedor que atesta conhecer o local e as condições, e não a Administração que tem o ônus de emitir o atestado de vistoria, como se passa no âmbito da Lei nº 8.666, de 1993.</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pPr>
        <w:pStyle w:val="42"/>
        <w:pBdr>
          <w:bottom w:val="single" w:color="1F497D" w:sz="4" w:space="0"/>
        </w:pBdr>
        <w:rPr>
          <w:rFonts w:hint="default" w:ascii="Calibri" w:hAnsi="Calibri" w:cs="Calibri"/>
          <w:szCs w:val="20"/>
        </w:rPr>
      </w:pPr>
      <w:r>
        <w:rPr>
          <w:rFonts w:hint="default" w:ascii="Calibri" w:hAnsi="Calibri" w:cs="Calibri"/>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pPr>
        <w:pStyle w:val="42"/>
        <w:pBdr>
          <w:bottom w:val="single" w:color="1F497D" w:sz="4" w:space="0"/>
        </w:pBdr>
        <w:rPr>
          <w:rFonts w:hint="default" w:ascii="Calibri" w:hAnsi="Calibri" w:cs="Calibri"/>
          <w:szCs w:val="20"/>
        </w:rPr>
      </w:pPr>
      <w:r>
        <w:rPr>
          <w:rFonts w:hint="default" w:ascii="Calibri" w:hAnsi="Calibri" w:cs="Calibri"/>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pPr>
        <w:pStyle w:val="42"/>
        <w:pBdr>
          <w:bottom w:val="single" w:color="1F497D" w:sz="4" w:space="0"/>
        </w:pBdr>
        <w:rPr>
          <w:rFonts w:hint="default" w:ascii="Calibri" w:hAnsi="Calibri" w:cs="Calibri"/>
          <w:color w:val="000000" w:themeColor="text1"/>
          <w:szCs w:val="20"/>
          <w14:textFill>
            <w14:solidFill>
              <w14:schemeClr w14:val="tx1"/>
            </w14:solidFill>
          </w14:textFill>
        </w:rPr>
      </w:pPr>
      <w:r>
        <w:rPr>
          <w:rFonts w:hint="default" w:ascii="Calibri" w:hAnsi="Calibri" w:cs="Calibri"/>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pPr>
        <w:pStyle w:val="39"/>
        <w:spacing w:after="0" w:line="276" w:lineRule="auto"/>
        <w:ind w:left="930"/>
        <w:jc w:val="both"/>
        <w:rPr>
          <w:rFonts w:hint="default" w:ascii="Calibri" w:hAnsi="Calibri" w:cs="Calibri"/>
          <w:i/>
          <w:color w:val="FF0000"/>
          <w:sz w:val="20"/>
          <w:szCs w:val="20"/>
        </w:rPr>
      </w:pPr>
    </w:p>
    <w:p>
      <w:pPr>
        <w:pStyle w:val="39"/>
        <w:spacing w:line="276" w:lineRule="auto"/>
        <w:ind w:left="432"/>
        <w:rPr>
          <w:rFonts w:hint="default" w:ascii="Calibri" w:hAnsi="Calibri" w:cs="Calibri"/>
          <w:color w:val="FF0000"/>
          <w:sz w:val="20"/>
          <w:szCs w:val="20"/>
        </w:rPr>
      </w:pPr>
    </w:p>
    <w:p>
      <w:pPr>
        <w:pStyle w:val="48"/>
        <w:numPr>
          <w:ilvl w:val="1"/>
          <w:numId w:val="12"/>
        </w:numPr>
        <w:spacing w:after="0"/>
        <w:rPr>
          <w:rFonts w:hint="default" w:ascii="Calibri" w:hAnsi="Calibri" w:cs="Calibri" w:eastAsiaTheme="minorHAnsi"/>
          <w:lang w:eastAsia="en-US"/>
        </w:rPr>
      </w:pPr>
      <w:r>
        <w:rPr>
          <w:rFonts w:hint="default" w:ascii="Calibri" w:hAnsi="Calibri" w:cs="Calibri" w:eastAsiaTheme="minorHAnsi"/>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pPr>
        <w:pStyle w:val="48"/>
        <w:numPr>
          <w:ilvl w:val="2"/>
          <w:numId w:val="13"/>
        </w:numPr>
        <w:rPr>
          <w:rFonts w:hint="default" w:ascii="Calibri" w:hAnsi="Calibri" w:cs="Calibri" w:eastAsiaTheme="minorHAnsi"/>
          <w:lang w:eastAsia="en-US"/>
        </w:rPr>
      </w:pPr>
      <w:r>
        <w:rPr>
          <w:rFonts w:hint="default" w:ascii="Calibri" w:hAnsi="Calibri" w:cs="Calibri" w:eastAsiaTheme="minorHAnsi"/>
          <w:lang w:eastAsia="en-US"/>
        </w:rPr>
        <w:t xml:space="preserve"> ... [incluir outras instruções sobre vistoria] </w:t>
      </w:r>
    </w:p>
    <w:p>
      <w:pPr>
        <w:pStyle w:val="48"/>
        <w:numPr>
          <w:ilvl w:val="2"/>
          <w:numId w:val="13"/>
        </w:numPr>
        <w:rPr>
          <w:rFonts w:hint="default" w:ascii="Calibri" w:hAnsi="Calibri" w:cs="Calibri" w:eastAsiaTheme="minorHAnsi"/>
          <w:lang w:eastAsia="en-US"/>
        </w:rPr>
      </w:pPr>
      <w:r>
        <w:rPr>
          <w:rFonts w:hint="default" w:ascii="Calibri" w:hAnsi="Calibri" w:cs="Calibri" w:eastAsiaTheme="minorHAnsi"/>
          <w:lang w:eastAsia="en-US"/>
        </w:rPr>
        <w:t xml:space="preserve">... [incluir outras instruções sobre vistoria] </w:t>
      </w:r>
    </w:p>
    <w:p>
      <w:pPr>
        <w:pStyle w:val="48"/>
        <w:numPr>
          <w:ilvl w:val="1"/>
          <w:numId w:val="12"/>
        </w:numPr>
        <w:rPr>
          <w:rFonts w:hint="default" w:ascii="Calibri" w:hAnsi="Calibri" w:cs="Calibri" w:eastAsiaTheme="minorHAnsi"/>
          <w:lang w:eastAsia="en-US"/>
        </w:rPr>
      </w:pPr>
      <w:r>
        <w:rPr>
          <w:rFonts w:hint="default" w:ascii="Calibri" w:hAnsi="Calibri" w:cs="Calibri" w:eastAsiaTheme="minorHAnsi"/>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pPr>
        <w:pStyle w:val="39"/>
        <w:spacing w:after="0" w:line="276" w:lineRule="auto"/>
        <w:ind w:left="1072"/>
        <w:jc w:val="both"/>
        <w:rPr>
          <w:rFonts w:hint="default" w:ascii="Calibri" w:hAnsi="Calibri" w:cs="Calibri"/>
          <w:i/>
          <w:iCs/>
          <w:color w:val="FF0000"/>
          <w:sz w:val="20"/>
          <w:szCs w:val="20"/>
        </w:rPr>
      </w:pPr>
    </w:p>
    <w:p>
      <w:pPr>
        <w:pStyle w:val="43"/>
        <w:numPr>
          <w:ilvl w:val="0"/>
          <w:numId w:val="1"/>
        </w:numPr>
        <w:spacing w:before="0" w:after="0"/>
        <w:rPr>
          <w:rFonts w:hint="default" w:ascii="Calibri" w:hAnsi="Calibri" w:cs="Calibri"/>
          <w:sz w:val="20"/>
          <w:szCs w:val="20"/>
        </w:rPr>
      </w:pPr>
      <w:r>
        <w:rPr>
          <w:rFonts w:hint="default" w:ascii="Calibri" w:hAnsi="Calibri" w:cs="Calibri"/>
          <w:sz w:val="20"/>
          <w:szCs w:val="20"/>
        </w:rPr>
        <w:t>MODELO DE EXECUÇÃO CONTRATUAL (arts. 6º, XXIII, alínea “e” da Lei n. 14.133/2021).</w:t>
      </w:r>
    </w:p>
    <w:p>
      <w:pPr>
        <w:rPr>
          <w:rFonts w:hint="default" w:ascii="Calibri" w:hAnsi="Calibri" w:cs="Calibri"/>
        </w:rPr>
      </w:pPr>
    </w:p>
    <w:p>
      <w:pPr>
        <w:pStyle w:val="42"/>
        <w:rPr>
          <w:rFonts w:hint="default" w:ascii="Calibri" w:hAnsi="Calibri" w:cs="Calibri"/>
        </w:rPr>
      </w:pPr>
      <w:r>
        <w:rPr>
          <w:rFonts w:hint="default" w:ascii="Calibri" w:hAnsi="Calibri" w:cs="Calibri"/>
          <w:b/>
          <w:bCs/>
        </w:rPr>
        <w:t>Nota Explicativa 1:</w:t>
      </w:r>
      <w:r>
        <w:rPr>
          <w:rFonts w:hint="default" w:ascii="Calibri" w:hAnsi="Calibri" w:cs="Calibri"/>
        </w:rPr>
        <w:t xml:space="preserve">  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pPr>
        <w:pStyle w:val="42"/>
        <w:rPr>
          <w:rFonts w:hint="default" w:ascii="Calibri" w:hAnsi="Calibri" w:cs="Calibri"/>
        </w:rPr>
      </w:pPr>
      <w:r>
        <w:rPr>
          <w:rFonts w:hint="default" w:ascii="Calibri" w:hAnsi="Calibri" w:cs="Calibri"/>
          <w:b/>
          <w:bCs/>
        </w:rPr>
        <w:t>Nota Explicativa 3:</w:t>
      </w:r>
      <w:r>
        <w:rPr>
          <w:rFonts w:hint="default" w:ascii="Calibri" w:hAnsi="Calibri" w:cs="Calibri"/>
        </w:rPr>
        <w:t xml:space="preserve"> Este item deverá ser adaptado de acordo com as necessidades específicas do órgão ou entidade, apresentando-se este modelo de forma meramente exemplificativa.</w:t>
      </w:r>
    </w:p>
    <w:p>
      <w:pPr>
        <w:pStyle w:val="45"/>
        <w:spacing w:before="0" w:after="0"/>
        <w:ind w:left="851"/>
        <w:rPr>
          <w:rFonts w:hint="default" w:ascii="Calibri" w:hAnsi="Calibri" w:cs="Calibri"/>
          <w:bCs/>
          <w:color w:val="FF0000"/>
          <w:sz w:val="20"/>
          <w:szCs w:val="20"/>
        </w:rPr>
      </w:pPr>
    </w:p>
    <w:p>
      <w:pPr>
        <w:pStyle w:val="48"/>
        <w:numPr>
          <w:ilvl w:val="1"/>
          <w:numId w:val="14"/>
        </w:numPr>
        <w:rPr>
          <w:rFonts w:hint="default" w:ascii="Calibri" w:hAnsi="Calibri" w:cs="Calibri"/>
        </w:rPr>
      </w:pPr>
      <w:r>
        <w:rPr>
          <w:rFonts w:hint="default" w:ascii="Calibri" w:hAnsi="Calibri" w:cs="Calibri"/>
        </w:rPr>
        <w:t>A execução dos serviços será iniciada ................................. (indicar o prazo, a data ou evento a partir do qual terá início a prestação dos serviços), na forma que segue:</w:t>
      </w:r>
    </w:p>
    <w:p>
      <w:pPr>
        <w:pStyle w:val="51"/>
        <w:rPr>
          <w:rFonts w:hint="default" w:ascii="Calibri" w:hAnsi="Calibri" w:cs="Calibri"/>
          <w:iCs w:val="0"/>
        </w:rPr>
      </w:pPr>
      <w:r>
        <w:rPr>
          <w:rFonts w:hint="default" w:ascii="Calibri" w:hAnsi="Calibri" w:cs="Calibri"/>
          <w:iCs w:val="0"/>
        </w:rPr>
        <w:t>(...)</w:t>
      </w:r>
    </w:p>
    <w:p>
      <w:pPr>
        <w:pStyle w:val="51"/>
        <w:rPr>
          <w:rFonts w:hint="default" w:ascii="Calibri" w:hAnsi="Calibri" w:cs="Calibri"/>
          <w:iCs w:val="0"/>
        </w:rPr>
      </w:pPr>
      <w:r>
        <w:rPr>
          <w:rFonts w:hint="default" w:ascii="Calibri" w:hAnsi="Calibri" w:cs="Calibri"/>
          <w:iCs w:val="0"/>
        </w:rPr>
        <w:t>(...)</w:t>
      </w:r>
    </w:p>
    <w:p>
      <w:pPr>
        <w:pStyle w:val="45"/>
        <w:spacing w:before="0" w:after="0"/>
        <w:ind w:left="851"/>
        <w:rPr>
          <w:rFonts w:hint="default" w:ascii="Calibri" w:hAnsi="Calibri" w:cs="Calibri"/>
          <w:bCs/>
          <w:color w:val="FF0000"/>
          <w:sz w:val="20"/>
          <w:szCs w:val="20"/>
        </w:rPr>
      </w:pPr>
    </w:p>
    <w:p>
      <w:pPr>
        <w:pStyle w:val="48"/>
        <w:numPr>
          <w:ilvl w:val="1"/>
          <w:numId w:val="14"/>
        </w:numPr>
        <w:rPr>
          <w:rFonts w:hint="default" w:ascii="Calibri" w:hAnsi="Calibri" w:cs="Calibri"/>
          <w:bCs/>
          <w:i w:val="0"/>
          <w:iCs/>
        </w:rPr>
      </w:pPr>
      <w:r>
        <w:rPr>
          <w:rFonts w:hint="default" w:ascii="Calibri" w:hAnsi="Calibri" w:cs="Calibri"/>
          <w:bCs/>
          <w:iCs/>
        </w:rPr>
        <w:t>Os serviços serão prestados no seguinte endereço [...]</w:t>
      </w:r>
    </w:p>
    <w:p>
      <w:pPr>
        <w:pStyle w:val="45"/>
        <w:spacing w:before="0" w:after="0"/>
        <w:ind w:left="432"/>
        <w:rPr>
          <w:rFonts w:hint="default" w:ascii="Calibri" w:hAnsi="Calibri" w:cs="Calibri"/>
          <w:bCs/>
          <w:i/>
          <w:iCs/>
          <w:color w:val="FF0000"/>
          <w:sz w:val="20"/>
          <w:szCs w:val="20"/>
        </w:rPr>
      </w:pPr>
    </w:p>
    <w:p>
      <w:pPr>
        <w:pStyle w:val="42"/>
        <w:spacing w:before="0"/>
        <w:rPr>
          <w:rFonts w:hint="default" w:ascii="Calibri" w:hAnsi="Calibri" w:cs="Calibri"/>
        </w:rPr>
      </w:pPr>
      <w:r>
        <w:rPr>
          <w:rFonts w:hint="default" w:ascii="Calibri" w:hAnsi="Calibri" w:cs="Calibri"/>
          <w:b/>
          <w:bCs/>
        </w:rPr>
        <w:t xml:space="preserve">Nota Explicativa: </w:t>
      </w:r>
      <w:r>
        <w:rPr>
          <w:rFonts w:hint="default" w:ascii="Calibri" w:hAnsi="Calibri" w:cs="Calibri"/>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pPr>
        <w:pStyle w:val="45"/>
        <w:spacing w:before="0" w:after="0"/>
        <w:ind w:left="851"/>
        <w:rPr>
          <w:rFonts w:hint="default" w:ascii="Calibri" w:hAnsi="Calibri" w:cs="Calibri"/>
          <w:bCs/>
          <w:color w:val="FF0000"/>
          <w:sz w:val="20"/>
          <w:szCs w:val="20"/>
        </w:rPr>
      </w:pPr>
    </w:p>
    <w:p>
      <w:pPr>
        <w:pStyle w:val="48"/>
        <w:numPr>
          <w:ilvl w:val="1"/>
          <w:numId w:val="14"/>
        </w:numPr>
        <w:rPr>
          <w:rFonts w:hint="default" w:ascii="Calibri" w:hAnsi="Calibri" w:cs="Calibri"/>
          <w:bCs/>
          <w:i w:val="0"/>
          <w:iCs/>
        </w:rPr>
      </w:pPr>
      <w:r>
        <w:rPr>
          <w:rFonts w:hint="default" w:ascii="Calibri" w:hAnsi="Calibri" w:cs="Calibri"/>
          <w:bCs/>
          <w:iCs/>
        </w:rPr>
        <w:t>A execução contratual observará as rotinas abaixo/em anexo:</w:t>
      </w:r>
    </w:p>
    <w:p>
      <w:pPr>
        <w:pStyle w:val="45"/>
        <w:numPr>
          <w:ilvl w:val="2"/>
          <w:numId w:val="15"/>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5"/>
        </w:numPr>
        <w:spacing w:before="0" w:after="0"/>
        <w:rPr>
          <w:rFonts w:hint="default" w:ascii="Calibri" w:hAnsi="Calibri" w:cs="Calibri"/>
          <w:bCs/>
          <w:color w:val="FF0000"/>
          <w:sz w:val="20"/>
          <w:szCs w:val="20"/>
        </w:rPr>
      </w:pPr>
      <w:r>
        <w:rPr>
          <w:rFonts w:hint="default" w:ascii="Calibri" w:hAnsi="Calibri" w:cs="Calibri"/>
          <w:bCs/>
          <w:color w:val="FF0000"/>
          <w:sz w:val="20"/>
          <w:szCs w:val="20"/>
        </w:rPr>
        <w:t>...</w:t>
      </w:r>
    </w:p>
    <w:p>
      <w:pPr>
        <w:pStyle w:val="45"/>
        <w:spacing w:before="0" w:after="0"/>
        <w:ind w:left="284"/>
        <w:rPr>
          <w:rFonts w:hint="default" w:ascii="Calibri" w:hAnsi="Calibri" w:cs="Calibri"/>
          <w:bCs/>
          <w:color w:val="auto"/>
          <w:sz w:val="20"/>
          <w:szCs w:val="20"/>
        </w:rPr>
      </w:pPr>
    </w:p>
    <w:p>
      <w:pPr>
        <w:pStyle w:val="42"/>
        <w:spacing w:before="0"/>
        <w:rPr>
          <w:rFonts w:hint="default" w:ascii="Calibri" w:hAnsi="Calibri" w:cs="Calibri"/>
          <w:bCs/>
          <w:color w:val="auto"/>
          <w:szCs w:val="20"/>
        </w:rPr>
      </w:pPr>
      <w:r>
        <w:rPr>
          <w:rFonts w:hint="default" w:ascii="Calibri" w:hAnsi="Calibri" w:cs="Calibri"/>
          <w:b/>
          <w:color w:val="auto"/>
          <w:szCs w:val="20"/>
        </w:rPr>
        <w:t xml:space="preserve">Nota Explicativa: </w:t>
      </w:r>
      <w:r>
        <w:rPr>
          <w:rFonts w:hint="default" w:ascii="Calibri" w:hAnsi="Calibri" w:cs="Calibri"/>
          <w:bCs/>
          <w:color w:val="auto"/>
          <w:szCs w:val="20"/>
        </w:rPr>
        <w:t>Havendo a necessidade de especificar as rotinas de trabalho, recomenda-se trazê-las em item específico acima, sem prejuízo da possibilidade de incluir um anexo com caderno de encargos, especificações técnicas ou documento análogo em que a forma de trabalho esperada do contratado (para além do já previsto neste instrumento) conste de forma mais detalhada.</w:t>
      </w:r>
    </w:p>
    <w:p>
      <w:pPr>
        <w:rPr>
          <w:rFonts w:hint="default" w:ascii="Calibri" w:hAnsi="Calibri" w:cs="Calibri"/>
        </w:rPr>
      </w:pPr>
    </w:p>
    <w:p>
      <w:pPr>
        <w:pStyle w:val="43"/>
        <w:numPr>
          <w:ilvl w:val="0"/>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INFORMAÇÕES RELEVANTES PARA O DIMENSIONAMENTO DA PROPOSTA</w:t>
      </w:r>
    </w:p>
    <w:p>
      <w:pPr>
        <w:pStyle w:val="48"/>
        <w:numPr>
          <w:ilvl w:val="1"/>
          <w:numId w:val="16"/>
        </w:numPr>
        <w:rPr>
          <w:rFonts w:hint="default" w:ascii="Calibri" w:hAnsi="Calibri" w:cs="Calibri"/>
        </w:rPr>
      </w:pPr>
      <w:r>
        <w:rPr>
          <w:rFonts w:hint="default" w:ascii="Calibri" w:hAnsi="Calibri" w:cs="Calibri"/>
          <w:bCs/>
          <w:iCs/>
        </w:rPr>
        <w:t>A demanda do órgão tem como base as seguintes características:</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 xml:space="preserve"> Etc.</w:t>
      </w:r>
    </w:p>
    <w:p>
      <w:pPr>
        <w:pStyle w:val="42"/>
        <w:rPr>
          <w:rFonts w:hint="default" w:ascii="Calibri" w:hAnsi="Calibri" w:cs="Calibri"/>
        </w:rPr>
      </w:pPr>
      <w:r>
        <w:rPr>
          <w:rFonts w:hint="default" w:ascii="Calibri" w:hAnsi="Calibri" w:cs="Calibri"/>
          <w:b/>
        </w:rPr>
        <w:t>Nota explicativa:</w:t>
      </w:r>
      <w:r>
        <w:rPr>
          <w:rFonts w:hint="default" w:ascii="Calibri" w:hAnsi="Calibri" w:cs="Calibri"/>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pPr>
        <w:rPr>
          <w:rFonts w:hint="default" w:ascii="Calibri" w:hAnsi="Calibri" w:cs="Calibri"/>
        </w:rPr>
      </w:pPr>
    </w:p>
    <w:p>
      <w:pPr>
        <w:pStyle w:val="43"/>
        <w:numPr>
          <w:ilvl w:val="0"/>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MATERIAIS A SEREM DISPONIBILIZADOS</w:t>
      </w:r>
    </w:p>
    <w:p>
      <w:pPr>
        <w:pStyle w:val="45"/>
        <w:spacing w:before="0" w:after="0"/>
        <w:ind w:left="432"/>
        <w:rPr>
          <w:rFonts w:hint="default" w:ascii="Calibri" w:hAnsi="Calibri" w:cs="Calibri"/>
          <w:bCs/>
          <w:i/>
          <w:iCs/>
          <w:color w:val="FF0000"/>
          <w:sz w:val="20"/>
          <w:szCs w:val="20"/>
        </w:rPr>
      </w:pPr>
    </w:p>
    <w:p>
      <w:pPr>
        <w:pStyle w:val="45"/>
        <w:numPr>
          <w:ilvl w:val="1"/>
          <w:numId w:val="17"/>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Para a perfeita execução dos serviços, o contratado deverá disponibilizar os materiais, equipamentos, ferramentas e utensílios necessários, nas quantidades estimadas e qualidades a seguir estabelecidas, promovendo sua substituição quando necessário:</w:t>
      </w:r>
    </w:p>
    <w:p>
      <w:pPr>
        <w:pStyle w:val="45"/>
        <w:numPr>
          <w:ilvl w:val="2"/>
          <w:numId w:val="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5"/>
        <w:numPr>
          <w:ilvl w:val="2"/>
          <w:numId w:val="1"/>
        </w:numPr>
        <w:spacing w:before="0" w:after="0"/>
        <w:rPr>
          <w:rFonts w:hint="default" w:ascii="Calibri" w:hAnsi="Calibri" w:cs="Calibri"/>
          <w:bCs/>
          <w:i/>
          <w:iCs/>
          <w:color w:val="FF0000"/>
          <w:sz w:val="20"/>
          <w:szCs w:val="20"/>
        </w:rPr>
      </w:pPr>
      <w:r>
        <w:rPr>
          <w:rFonts w:hint="default" w:ascii="Calibri" w:hAnsi="Calibri" w:cs="Calibri"/>
          <w:bCs/>
          <w:i/>
          <w:iCs/>
          <w:color w:val="FF0000"/>
          <w:sz w:val="20"/>
          <w:szCs w:val="20"/>
        </w:rPr>
        <w:t>........</w:t>
      </w:r>
    </w:p>
    <w:p>
      <w:pPr>
        <w:pStyle w:val="42"/>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pPr>
        <w:rPr>
          <w:rFonts w:hint="default" w:ascii="Calibri" w:hAnsi="Calibri" w:cs="Calibri"/>
        </w:rPr>
      </w:pPr>
    </w:p>
    <w:p>
      <w:pPr>
        <w:pStyle w:val="43"/>
        <w:numPr>
          <w:ilvl w:val="0"/>
          <w:numId w:val="1"/>
        </w:numPr>
        <w:spacing w:before="0" w:after="0"/>
        <w:rPr>
          <w:rFonts w:hint="default" w:ascii="Calibri" w:hAnsi="Calibri" w:cs="Calibri"/>
          <w:i/>
          <w:iCs/>
          <w:color w:val="FF0000"/>
          <w:sz w:val="20"/>
          <w:szCs w:val="20"/>
        </w:rPr>
      </w:pPr>
      <w:r>
        <w:rPr>
          <w:rFonts w:hint="default" w:ascii="Calibri" w:hAnsi="Calibri" w:cs="Calibri"/>
          <w:i/>
          <w:iCs/>
          <w:color w:val="FF0000"/>
          <w:sz w:val="20"/>
          <w:szCs w:val="20"/>
        </w:rPr>
        <w:t>UNIFORMES</w:t>
      </w:r>
    </w:p>
    <w:p>
      <w:pPr>
        <w:spacing w:after="0"/>
        <w:rPr>
          <w:rFonts w:hint="default" w:ascii="Calibri" w:hAnsi="Calibri" w:cs="Calibri"/>
        </w:rPr>
      </w:pPr>
    </w:p>
    <w:p>
      <w:pPr>
        <w:pStyle w:val="39"/>
        <w:numPr>
          <w:ilvl w:val="1"/>
          <w:numId w:val="18"/>
        </w:numPr>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pPr>
        <w:numPr>
          <w:ilvl w:val="1"/>
          <w:numId w:val="1"/>
        </w:numPr>
        <w:spacing w:before="120" w:after="120" w:line="276" w:lineRule="auto"/>
        <w:ind w:left="425"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O uniforme deverá compreender as seguintes peças do vestuário:</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numPr>
          <w:ilvl w:val="1"/>
          <w:numId w:val="1"/>
        </w:numPr>
        <w:spacing w:before="120" w:after="120" w:line="276" w:lineRule="auto"/>
        <w:ind w:left="425"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 xml:space="preserve">As peças devem ser confeccionadas com tecido e material de qualidade, seguindo os seguintes parâmetros mínimos: </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lang w:val="zh-CN"/>
        </w:rPr>
      </w:pPr>
      <w:r>
        <w:rPr>
          <w:rFonts w:hint="default" w:ascii="Calibri" w:hAnsi="Calibri" w:eastAsia="Calibri" w:cs="Calibri"/>
          <w:b/>
          <w:i/>
          <w:iCs/>
          <w:color w:val="000000"/>
          <w:sz w:val="20"/>
          <w:szCs w:val="20"/>
          <w:lang w:val="zh-CN"/>
        </w:rPr>
        <w:t xml:space="preserve">Nota explicativa: </w:t>
      </w:r>
      <w:r>
        <w:rPr>
          <w:rFonts w:hint="default" w:ascii="Calibri" w:hAnsi="Calibri" w:eastAsia="Calibri" w:cs="Calibri"/>
          <w:i/>
          <w:iCs/>
          <w:color w:val="000000"/>
          <w:sz w:val="20"/>
          <w:szCs w:val="20"/>
          <w:lang w:val="zh-CN"/>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lang w:val="zh-CN"/>
        </w:rPr>
      </w:pPr>
      <w:r>
        <w:rPr>
          <w:rFonts w:hint="default" w:ascii="Calibri" w:hAnsi="Calibri" w:eastAsia="Calibri" w:cs="Calibri"/>
          <w:i/>
          <w:iCs/>
          <w:color w:val="000000"/>
          <w:sz w:val="20"/>
          <w:szCs w:val="20"/>
          <w:lang w:val="zh-CN"/>
        </w:rPr>
        <w:t>Sem tal detalhamento, inviabiliza-se a exigência de padrões mínimos</w:t>
      </w:r>
      <w:r>
        <w:rPr>
          <w:rFonts w:hint="default" w:ascii="Calibri" w:hAnsi="Calibri" w:eastAsia="Calibri" w:cs="Calibri"/>
          <w:i/>
          <w:iCs/>
          <w:color w:val="000000"/>
          <w:sz w:val="20"/>
          <w:szCs w:val="20"/>
        </w:rPr>
        <w:t xml:space="preserve"> pelo órgão contratante</w:t>
      </w:r>
      <w:r>
        <w:rPr>
          <w:rFonts w:hint="default" w:ascii="Calibri" w:hAnsi="Calibri" w:eastAsia="Calibri" w:cs="Calibri"/>
          <w:i/>
          <w:iCs/>
          <w:color w:val="000000"/>
          <w:sz w:val="20"/>
          <w:szCs w:val="20"/>
          <w:lang w:val="zh-CN"/>
        </w:rPr>
        <w:t>,</w:t>
      </w:r>
      <w:r>
        <w:rPr>
          <w:rFonts w:hint="default" w:ascii="Calibri" w:hAnsi="Calibri" w:eastAsia="Calibri" w:cs="Calibri"/>
          <w:i/>
          <w:iCs/>
          <w:color w:val="000000"/>
          <w:sz w:val="20"/>
          <w:szCs w:val="20"/>
        </w:rPr>
        <w:t xml:space="preserve"> seja</w:t>
      </w:r>
      <w:r>
        <w:rPr>
          <w:rFonts w:hint="default" w:ascii="Calibri" w:hAnsi="Calibri" w:eastAsia="Calibri" w:cs="Calibri"/>
          <w:i/>
          <w:iCs/>
          <w:color w:val="000000"/>
          <w:sz w:val="20"/>
          <w:szCs w:val="20"/>
          <w:lang w:val="zh-CN"/>
        </w:rPr>
        <w:t xml:space="preserve"> na fase de aceitação da proposta, </w:t>
      </w:r>
      <w:r>
        <w:rPr>
          <w:rFonts w:hint="default" w:ascii="Calibri" w:hAnsi="Calibri" w:eastAsia="Calibri" w:cs="Calibri"/>
          <w:i/>
          <w:iCs/>
          <w:color w:val="000000"/>
          <w:sz w:val="20"/>
          <w:szCs w:val="20"/>
        </w:rPr>
        <w:t xml:space="preserve">seja </w:t>
      </w:r>
      <w:r>
        <w:rPr>
          <w:rFonts w:hint="default" w:ascii="Calibri" w:hAnsi="Calibri" w:eastAsia="Calibri" w:cs="Calibri"/>
          <w:i/>
          <w:iCs/>
          <w:color w:val="000000"/>
          <w:sz w:val="20"/>
          <w:szCs w:val="20"/>
          <w:lang w:val="zh-CN"/>
        </w:rPr>
        <w:t xml:space="preserve">no decorrer da execução do contrato.  </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pPr>
        <w:numPr>
          <w:ilvl w:val="2"/>
          <w:numId w:val="1"/>
        </w:numPr>
        <w:spacing w:before="120" w:after="120" w:line="276" w:lineRule="auto"/>
        <w:ind w:left="1134" w:firstLine="0"/>
        <w:jc w:val="both"/>
        <w:rPr>
          <w:rFonts w:hint="default" w:ascii="Calibri" w:hAnsi="Calibri" w:eastAsia="Times New Roman" w:cs="Calibri"/>
          <w:bCs/>
          <w:i/>
          <w:iCs/>
          <w:color w:val="FF0000"/>
          <w:sz w:val="20"/>
          <w:szCs w:val="20"/>
          <w:lang w:eastAsia="pt-BR"/>
        </w:rPr>
      </w:pPr>
      <w:r>
        <w:rPr>
          <w:rFonts w:hint="default" w:ascii="Calibri" w:hAnsi="Calibri" w:eastAsia="Times New Roman" w:cs="Calibri"/>
          <w:bCs/>
          <w:i/>
          <w:iCs/>
          <w:color w:val="FF0000"/>
          <w:sz w:val="20"/>
          <w:szCs w:val="20"/>
          <w:lang w:eastAsia="pt-BR"/>
        </w:rPr>
        <w:t>No caso de empregada gestante, os uniformes deverão ser apropriados para a situação, substituindo-os sempre que estiverem apertados;</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lang w:val="zh-CN"/>
        </w:rPr>
      </w:pPr>
      <w:r>
        <w:rPr>
          <w:rFonts w:hint="default" w:ascii="Calibri" w:hAnsi="Calibri" w:eastAsia="Calibri" w:cs="Calibri"/>
          <w:b/>
          <w:i/>
          <w:iCs/>
          <w:color w:val="000000"/>
          <w:sz w:val="20"/>
          <w:szCs w:val="20"/>
          <w:lang w:val="zh-CN"/>
        </w:rPr>
        <w:t>Nota explicativa</w:t>
      </w:r>
      <w:r>
        <w:rPr>
          <w:rFonts w:hint="default" w:ascii="Calibri" w:hAnsi="Calibri" w:eastAsia="Calibri" w:cs="Calibri"/>
          <w:i/>
          <w:iCs/>
          <w:color w:val="000000"/>
          <w:sz w:val="20"/>
          <w:szCs w:val="20"/>
          <w:lang w:val="zh-CN"/>
        </w:rPr>
        <w:t>: O órgão deve adaptar este item de acordo com as especificidades do serviço e do local de prestação.</w:t>
      </w:r>
    </w:p>
    <w:p>
      <w:pPr>
        <w:numPr>
          <w:ilvl w:val="1"/>
          <w:numId w:val="1"/>
        </w:numPr>
        <w:spacing w:before="120" w:after="120" w:line="276" w:lineRule="auto"/>
        <w:ind w:left="425" w:firstLine="0"/>
        <w:jc w:val="both"/>
        <w:rPr>
          <w:rFonts w:hint="default" w:ascii="Calibri" w:hAnsi="Calibri" w:cs="Calibri"/>
          <w:i/>
          <w:iCs/>
          <w:color w:val="FF0000"/>
        </w:rPr>
      </w:pPr>
      <w:r>
        <w:rPr>
          <w:rFonts w:hint="default" w:ascii="Calibri" w:hAnsi="Calibri" w:eastAsia="Times New Roman" w:cs="Calibri"/>
          <w:bCs/>
          <w:i/>
          <w:iCs/>
          <w:color w:val="FF0000"/>
          <w:sz w:val="20"/>
          <w:szCs w:val="20"/>
          <w:lang w:eastAsia="pt-BR"/>
        </w:rPr>
        <w:t>Os uniformes deverão ser entregues mediante recibo, cuja cópia, devidamente acompanhada do original para conferência, deverá ser enviada ao servidor responsável pela fiscalização do contrato.</w:t>
      </w:r>
    </w:p>
    <w:p>
      <w:pPr>
        <w:rPr>
          <w:rFonts w:hint="default" w:ascii="Calibri" w:hAnsi="Calibri" w:cs="Calibri"/>
        </w:rPr>
      </w:pPr>
    </w:p>
    <w:p>
      <w:pPr>
        <w:keepNext/>
        <w:keepLines/>
        <w:numPr>
          <w:ilvl w:val="0"/>
          <w:numId w:val="1"/>
        </w:numPr>
        <w:tabs>
          <w:tab w:val="left" w:pos="360"/>
        </w:tabs>
        <w:spacing w:after="0" w:line="276" w:lineRule="auto"/>
        <w:ind w:left="0" w:firstLine="0"/>
        <w:jc w:val="both"/>
        <w:outlineLvl w:val="0"/>
        <w:rPr>
          <w:rFonts w:hint="default" w:ascii="Calibri" w:hAnsi="Calibri" w:eastAsia="Times New Roman" w:cs="Calibri"/>
          <w:b/>
          <w:color w:val="000000"/>
          <w:sz w:val="20"/>
          <w:szCs w:val="20"/>
        </w:rPr>
      </w:pPr>
      <w:r>
        <w:rPr>
          <w:rFonts w:hint="default" w:ascii="Calibri" w:hAnsi="Calibri" w:eastAsia="Times New Roman" w:cs="Calibri"/>
          <w:b/>
          <w:color w:val="000000"/>
          <w:sz w:val="20"/>
          <w:szCs w:val="20"/>
        </w:rPr>
        <w:t>MODELO DE GESTÃO DO CONTRATO (art. 6º, XXIII, alínea “f” da Lei nº 14.133/21)</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b/>
          <w:bCs/>
          <w:i/>
          <w:iCs/>
          <w:color w:val="000000"/>
          <w:sz w:val="20"/>
          <w:szCs w:val="20"/>
          <w:lang w:eastAsia="zh-CN"/>
        </w:rPr>
        <w:t xml:space="preserve">Nota Explicativa: </w:t>
      </w:r>
      <w:r>
        <w:rPr>
          <w:rFonts w:hint="default" w:ascii="Calibri" w:hAnsi="Calibri" w:eastAsia="Calibri" w:cs="Calibri"/>
          <w:i/>
          <w:iCs/>
          <w:color w:val="000000"/>
          <w:sz w:val="20"/>
          <w:szCs w:val="20"/>
          <w:lang w:eastAsia="zh-CN"/>
        </w:rPr>
        <w:t xml:space="preserve">O art. 1º da Instrução Normativa SEGES/ME nº 75/2021 autorizou a aplicação da Instrução Normativa SEGES/MP nº 05/2017, no que couber, para a designação dos fiscais e gestores de contratos, bem como para a atuação da gestão e fiscalização da execução contratual nos processos de contratação direta de que dispõe a Lei nº 14.133/2021. </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i/>
          <w:iCs/>
          <w:color w:val="000000"/>
          <w:sz w:val="20"/>
          <w:szCs w:val="20"/>
          <w:lang w:eastAsia="zh-CN"/>
        </w:rPr>
        <w:t>O art. 39 da IN SEGES/MP nº 05/ 2017, por sua vez, conceitua as atividades de gestão e fiscalização da execução contratual como “o conjunto de ações que tem por objetivo aferir o cumprimento dos resultados previstos pela Administração para os serviços contratados, verificar a regularidade das obrigações previdenciárias, fiscais e trabalhistas”.</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i/>
          <w:iCs/>
          <w:color w:val="000000"/>
          <w:sz w:val="20"/>
          <w:szCs w:val="20"/>
          <w:lang w:eastAsia="zh-CN"/>
        </w:rPr>
        <w:t xml:space="preserve">Diante disso, considera-se pertinente a utilização, quanto à gestão e fiscalização contratuais, do regramento previsto sobre o assunto na IN SEGES/MP n.º 05/2017, naquilo que for compatível com a nova lei de licitações, inclusive no que toca à especificação relativa à fiscalização administrativa e técnica, essencial em se tratando de contratos para execução de serviços em regime de dedicação exclusiva de mão de obra, com vistas a mitigar os riscos de responsabilidade subsidiária do órgão contratante pelo inadimplemento de obrigações trabalhistas pelo contratado.  </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i/>
          <w:iCs/>
          <w:color w:val="000000"/>
          <w:sz w:val="20"/>
          <w:szCs w:val="20"/>
          <w:lang w:eastAsia="zh-CN"/>
        </w:rPr>
        <w:t>Vale notar, inclusive, que o PARECER n. 00002/2021/CNMLC/CGU/AGU (NUP: 00688.000716/2019-43), aprovado pelo Consultor-Geral da União, concluiu ser recomendável a utilização das disposições relativas aos modelos de gestão contratual presentes da Instrução Normativa SEGES/MP n.º 05/2017, na condição de “boas práticas”, nos contratos de maior risco, como os que envolvem a dedicação exclusiva de mão de obra, até que editado o regulamento exigido para tanto pelo art. 92, XVIII, da Lei n.º 14.133/2021, verbis:</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i/>
          <w:iCs/>
          <w:color w:val="000000"/>
          <w:sz w:val="20"/>
          <w:szCs w:val="20"/>
          <w:lang w:eastAsia="zh-CN"/>
        </w:rPr>
        <w:t>151. Dito isso e concluindo pela ausência de restrição à contratação no caso de inexistência do regulamento do art. 92, XVIII, cabe registrar que a possibilidade de contratar sem modelos de gestão contratual pré-estabelecidos não significa a conveniência de assim fazê-lo. Em especial nos contratos de maior risco (principalmente os que envolvam dedicação exclusiva de mão-de-obra, em razão do já citado art. 121), pode ser recomendável que a Administração se utilize, enquanto “boas práticas” (e não por eventual incidência normativa), dos modelos de gestão contratual presentes nos normativos existentes para a lei nº 8.666/93, tal como a Instrução Normativa SEGES/MP nº 5/2017, até que adequadamente tratada a questão em regulamento, conforme a nova legislação.</w:t>
      </w:r>
    </w:p>
    <w:p>
      <w:pPr>
        <w:spacing w:after="0" w:line="276" w:lineRule="auto"/>
        <w:jc w:val="both"/>
        <w:rPr>
          <w:rFonts w:hint="default" w:ascii="Calibri" w:hAnsi="Calibri" w:cs="Calibri"/>
          <w:sz w:val="20"/>
          <w:szCs w:val="20"/>
        </w:rPr>
      </w:pPr>
    </w:p>
    <w:p>
      <w:pPr>
        <w:numPr>
          <w:ilvl w:val="1"/>
          <w:numId w:val="19"/>
        </w:numPr>
        <w:spacing w:after="0" w:line="276" w:lineRule="auto"/>
        <w:jc w:val="both"/>
        <w:rPr>
          <w:rFonts w:hint="default" w:ascii="Calibri" w:hAnsi="Calibri" w:cs="Calibri"/>
          <w:sz w:val="20"/>
          <w:szCs w:val="20"/>
        </w:rPr>
      </w:pPr>
      <w:r>
        <w:rPr>
          <w:rFonts w:hint="default" w:ascii="Calibri" w:hAnsi="Calibri" w:cs="Calibri"/>
          <w:b/>
          <w:bCs/>
          <w:sz w:val="20"/>
          <w:szCs w:val="20"/>
        </w:rPr>
        <w:t>ROTINAS DE FISCALIZAÇÃO CONTRATUAL</w:t>
      </w:r>
    </w:p>
    <w:p>
      <w:pPr>
        <w:spacing w:after="0" w:line="276" w:lineRule="auto"/>
        <w:ind w:left="930"/>
        <w:jc w:val="both"/>
        <w:rPr>
          <w:rFonts w:hint="default" w:ascii="Calibri" w:hAnsi="Calibri" w:cs="Calibri"/>
          <w:sz w:val="20"/>
          <w:szCs w:val="20"/>
        </w:rPr>
      </w:pPr>
    </w:p>
    <w:p>
      <w:pPr>
        <w:numPr>
          <w:ilvl w:val="2"/>
          <w:numId w:val="1"/>
        </w:numPr>
        <w:spacing w:after="0"/>
        <w:jc w:val="both"/>
        <w:rPr>
          <w:rFonts w:hint="default" w:ascii="Calibri" w:hAnsi="Calibri" w:cs="Calibri"/>
          <w:sz w:val="20"/>
          <w:szCs w:val="20"/>
        </w:rPr>
      </w:pPr>
      <w:r>
        <w:rPr>
          <w:rFonts w:hint="default" w:ascii="Calibri" w:hAnsi="Calibri" w:cs="Calibri"/>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Pr>
          <w:rFonts w:hint="default" w:ascii="Calibri" w:hAnsi="Calibri" w:cs="Calibri"/>
          <w:i/>
          <w:iCs/>
          <w:sz w:val="20"/>
          <w:szCs w:val="20"/>
        </w:rPr>
        <w:t>caput</w:t>
      </w:r>
      <w:r>
        <w:rPr>
          <w:rFonts w:hint="default" w:ascii="Calibri" w:hAnsi="Calibri" w:cs="Calibri"/>
          <w:sz w:val="20"/>
          <w:szCs w:val="20"/>
        </w:rPr>
        <w:t>).</w:t>
      </w:r>
    </w:p>
    <w:p>
      <w:pPr>
        <w:numPr>
          <w:ilvl w:val="2"/>
          <w:numId w:val="1"/>
        </w:numPr>
        <w:spacing w:after="0" w:line="276" w:lineRule="auto"/>
        <w:jc w:val="both"/>
        <w:rPr>
          <w:rFonts w:hint="default" w:ascii="Calibri" w:hAnsi="Calibri" w:cs="Calibri"/>
          <w:sz w:val="20"/>
          <w:szCs w:val="20"/>
        </w:rPr>
      </w:pPr>
      <w:r>
        <w:rPr>
          <w:rFonts w:hint="default" w:ascii="Calibri" w:hAnsi="Calibri" w:cs="Calibri"/>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pPr>
        <w:numPr>
          <w:ilvl w:val="2"/>
          <w:numId w:val="1"/>
        </w:numPr>
        <w:spacing w:after="0" w:line="276" w:lineRule="auto"/>
        <w:jc w:val="both"/>
        <w:rPr>
          <w:rFonts w:hint="default" w:ascii="Calibri" w:hAnsi="Calibri" w:cs="Calibri"/>
          <w:sz w:val="20"/>
          <w:szCs w:val="20"/>
        </w:rPr>
      </w:pPr>
      <w:r>
        <w:rPr>
          <w:rFonts w:hint="default" w:ascii="Calibri" w:hAnsi="Calibri" w:cs="Calibri"/>
          <w:sz w:val="20"/>
          <w:szCs w:val="20"/>
        </w:rPr>
        <w:t xml:space="preserve">A execução do contrato deverá ser acompanhada e fiscalizada pelo(s) fiscal(is) do contrato, ou pelos respectivos substitutos (Lei nº 14.133/2021, art. 117, </w:t>
      </w:r>
      <w:r>
        <w:rPr>
          <w:rFonts w:hint="default" w:ascii="Calibri" w:hAnsi="Calibri" w:cs="Calibri"/>
          <w:i/>
          <w:iCs/>
          <w:sz w:val="20"/>
          <w:szCs w:val="20"/>
        </w:rPr>
        <w:t>caput</w:t>
      </w:r>
      <w:r>
        <w:rPr>
          <w:rFonts w:hint="default" w:ascii="Calibri" w:hAnsi="Calibri" w:cs="Calibri"/>
          <w:sz w:val="20"/>
          <w:szCs w:val="20"/>
        </w:rPr>
        <w:t>).</w:t>
      </w:r>
    </w:p>
    <w:p>
      <w:pPr>
        <w:pBdr>
          <w:top w:val="single" w:color="1F497D" w:sz="4" w:space="1"/>
          <w:left w:val="single" w:color="1F497D" w:sz="4" w:space="4"/>
          <w:bottom w:val="single" w:color="1F497D" w:sz="4" w:space="1"/>
          <w:right w:val="single" w:color="1F497D" w:sz="4" w:space="4"/>
        </w:pBdr>
        <w:shd w:val="clear" w:color="auto" w:fill="FFFFCC"/>
        <w:spacing w:after="0" w:line="276" w:lineRule="auto"/>
        <w:jc w:val="both"/>
        <w:rPr>
          <w:rFonts w:hint="default" w:ascii="Calibri" w:hAnsi="Calibri" w:eastAsia="Calibri" w:cs="Calibri"/>
          <w:i/>
          <w:iCs/>
          <w:color w:val="000000"/>
          <w:sz w:val="20"/>
          <w:szCs w:val="24"/>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xml:space="preserve"> Os fiscais do contrato serão designados pela autoridade máxima do órgão ou da entidade, ou por quem as normas de organização administrativa indicarem, na forma do art. 7º da Lei nº 14.133, de 2021, devendo a Administração instruir os autos com as publicações dos atos de designação dos agentes públicos para o exercício dessas funções.</w:t>
      </w:r>
    </w:p>
    <w:p>
      <w:pPr>
        <w:numPr>
          <w:ilvl w:val="3"/>
          <w:numId w:val="1"/>
        </w:numPr>
        <w:tabs>
          <w:tab w:val="left" w:pos="708"/>
        </w:tabs>
        <w:spacing w:after="0" w:line="276" w:lineRule="auto"/>
        <w:ind w:left="1701"/>
        <w:contextualSpacing/>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fiscal do contrato anotará em registro próprio todas as ocorrências relacionadas à execução do contrato, determinando o que for necessário para a regularização das faltas ou dos defeitos observados (Lei nº 14.133/2021, art. 117, §1º).</w:t>
      </w:r>
    </w:p>
    <w:p>
      <w:pPr>
        <w:numPr>
          <w:ilvl w:val="3"/>
          <w:numId w:val="1"/>
        </w:numPr>
        <w:tabs>
          <w:tab w:val="left" w:pos="708"/>
        </w:tabs>
        <w:spacing w:after="0" w:line="276" w:lineRule="auto"/>
        <w:ind w:left="1701"/>
        <w:contextualSpacing/>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fiscal do contrato informará a seus superiores, em tempo hábil para a adoção das medidas convenientes, a situação que demandar decisão ou providência que ultrapasse sua competência (Lei nº 14.133/2021, art. 117, §2º).</w:t>
      </w:r>
    </w:p>
    <w:p>
      <w:pPr>
        <w:numPr>
          <w:ilvl w:val="3"/>
          <w:numId w:val="1"/>
        </w:numPr>
        <w:tabs>
          <w:tab w:val="left" w:pos="708"/>
        </w:tabs>
        <w:spacing w:after="0" w:line="276" w:lineRule="auto"/>
        <w:ind w:left="1701"/>
        <w:contextualSpacing/>
        <w:jc w:val="both"/>
        <w:rPr>
          <w:rFonts w:hint="default" w:ascii="Calibri" w:hAnsi="Calibri" w:cs="Calibri"/>
          <w:sz w:val="20"/>
          <w:szCs w:val="20"/>
        </w:rPr>
      </w:pPr>
      <w:r>
        <w:rPr>
          <w:rFonts w:hint="default" w:ascii="Calibri" w:hAnsi="Calibri" w:cs="Calibri"/>
          <w:color w:val="000000"/>
          <w:sz w:val="20"/>
          <w:szCs w:val="20"/>
        </w:rPr>
        <w:t xml:space="preserve">O contratado </w:t>
      </w:r>
      <w:r>
        <w:rPr>
          <w:rFonts w:hint="default" w:ascii="Calibri" w:hAnsi="Calibri" w:eastAsia="Times New Roman" w:cs="Calibri"/>
          <w:sz w:val="20"/>
          <w:szCs w:val="20"/>
          <w:lang w:eastAsia="pt-BR"/>
        </w:rPr>
        <w:t>deverá</w:t>
      </w:r>
      <w:r>
        <w:rPr>
          <w:rFonts w:hint="default" w:ascii="Calibri" w:hAnsi="Calibri" w:cs="Calibri"/>
          <w:color w:val="000000"/>
          <w:sz w:val="20"/>
          <w:szCs w:val="20"/>
        </w:rPr>
        <w:t xml:space="preserve"> manter preposto aceito pela Administração no local do serviço </w:t>
      </w:r>
      <w:r>
        <w:rPr>
          <w:rFonts w:hint="default" w:ascii="Calibri" w:hAnsi="Calibri" w:cs="Calibri"/>
          <w:sz w:val="20"/>
          <w:szCs w:val="20"/>
        </w:rPr>
        <w:t>para</w:t>
      </w:r>
      <w:r>
        <w:rPr>
          <w:rFonts w:hint="default" w:ascii="Calibri" w:hAnsi="Calibri" w:cs="Calibri"/>
          <w:color w:val="000000"/>
          <w:sz w:val="20"/>
          <w:szCs w:val="20"/>
        </w:rPr>
        <w:t xml:space="preserve"> representá-lo na execução do contrato. (Lei nº 14.133/2021, art. 118).</w:t>
      </w:r>
    </w:p>
    <w:p>
      <w:pPr>
        <w:pBdr>
          <w:top w:val="single" w:color="1F497D" w:sz="4" w:space="1"/>
          <w:left w:val="single" w:color="1F497D" w:sz="4" w:space="4"/>
          <w:bottom w:val="single" w:color="1F497D" w:sz="4" w:space="1"/>
          <w:right w:val="single" w:color="1F497D" w:sz="4" w:space="4"/>
        </w:pBdr>
        <w:shd w:val="clear" w:color="auto" w:fill="FFFFCC"/>
        <w:spacing w:after="0" w:line="276" w:lineRule="auto"/>
        <w:jc w:val="both"/>
        <w:rPr>
          <w:rFonts w:hint="default" w:ascii="Calibri" w:hAnsi="Calibri" w:eastAsia="Calibri" w:cs="Calibri"/>
          <w:i/>
          <w:iCs/>
          <w:sz w:val="20"/>
          <w:szCs w:val="20"/>
        </w:rPr>
      </w:pPr>
      <w:r>
        <w:rPr>
          <w:rFonts w:hint="default" w:ascii="Calibri" w:hAnsi="Calibri" w:eastAsia="Calibri" w:cs="Calibri"/>
          <w:b/>
          <w:bCs/>
          <w:i/>
          <w:iCs/>
          <w:color w:val="000000"/>
          <w:sz w:val="20"/>
          <w:szCs w:val="20"/>
        </w:rPr>
        <w:t xml:space="preserve">Nota Explicativa: </w:t>
      </w:r>
      <w:r>
        <w:rPr>
          <w:rFonts w:hint="default" w:ascii="Calibri" w:hAnsi="Calibri" w:eastAsia="Calibri" w:cs="Calibri"/>
          <w:i/>
          <w:iCs/>
          <w:color w:val="000000"/>
          <w:sz w:val="20"/>
          <w:szCs w:val="20"/>
        </w:rPr>
        <w:t>Nos termos do art. 44, § 4º, da IN 5/2017 (aplicável por força da IN SEGES/ME nº 75, de 2021), a depender da natureza dos serviços, poderá ser exigida a manutenção do preposto da empresa no local da execução do objeto, bem como pode ser estabelecido sistema de escala semanal ou mensal.</w:t>
      </w:r>
    </w:p>
    <w:p>
      <w:pPr>
        <w:numPr>
          <w:ilvl w:val="3"/>
          <w:numId w:val="1"/>
        </w:numPr>
        <w:tabs>
          <w:tab w:val="left" w:pos="708"/>
        </w:tabs>
        <w:spacing w:after="0"/>
        <w:ind w:left="1701"/>
        <w:contextualSpacing/>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contratado designará formalmente o preposto, antes do início da prestação dos serviços, indicando no instrumento os poderes e deveres em relação à execução do objeto contratado.</w:t>
      </w:r>
    </w:p>
    <w:p>
      <w:pPr>
        <w:numPr>
          <w:ilvl w:val="3"/>
          <w:numId w:val="1"/>
        </w:numPr>
        <w:tabs>
          <w:tab w:val="left" w:pos="708"/>
        </w:tabs>
        <w:spacing w:after="0" w:line="276" w:lineRule="auto"/>
        <w:ind w:left="1701"/>
        <w:contextualSpacing/>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A indicação ou a manutenção do preposto da empresa </w:t>
      </w:r>
      <w:r>
        <w:rPr>
          <w:rFonts w:hint="default" w:ascii="Calibri" w:hAnsi="Calibri" w:cs="Calibri"/>
          <w:sz w:val="20"/>
          <w:szCs w:val="20"/>
        </w:rPr>
        <w:t>poderá</w:t>
      </w:r>
      <w:r>
        <w:rPr>
          <w:rFonts w:hint="default" w:ascii="Calibri" w:hAnsi="Calibri" w:eastAsia="Times New Roman" w:cs="Calibri"/>
          <w:sz w:val="20"/>
          <w:szCs w:val="20"/>
          <w:lang w:eastAsia="pt-BR"/>
        </w:rPr>
        <w:t xml:space="preserve"> ser recusada pelo contratante, desde que devidamente justificada, devendo o contratado designar outro empregado para o exercício da atividade. </w:t>
      </w:r>
    </w:p>
    <w:p>
      <w:pPr>
        <w:numPr>
          <w:ilvl w:val="3"/>
          <w:numId w:val="1"/>
        </w:numPr>
        <w:tabs>
          <w:tab w:val="left" w:pos="708"/>
        </w:tabs>
        <w:spacing w:after="0" w:line="276" w:lineRule="auto"/>
        <w:ind w:left="1701"/>
        <w:contextualSpacing/>
        <w:jc w:val="both"/>
        <w:rPr>
          <w:rFonts w:hint="default" w:ascii="Calibri" w:hAnsi="Calibri" w:cs="Calibri"/>
          <w:sz w:val="20"/>
          <w:szCs w:val="20"/>
        </w:rPr>
      </w:pPr>
      <w:r>
        <w:rPr>
          <w:rFonts w:hint="default" w:ascii="Calibri" w:hAnsi="Calibri" w:eastAsia="Times New Roman" w:cs="Calibri"/>
          <w:sz w:val="20"/>
          <w:szCs w:val="20"/>
          <w:lang w:eastAsia="pt-BR"/>
        </w:rPr>
        <w:t xml:space="preserve">O contratante poderá convocar o preposto ou representante do contratado para adoção de providências que devam ser cumpridas de imediato. </w:t>
      </w:r>
    </w:p>
    <w:p>
      <w:pPr>
        <w:numPr>
          <w:ilvl w:val="2"/>
          <w:numId w:val="1"/>
        </w:numPr>
        <w:spacing w:after="0" w:line="276" w:lineRule="auto"/>
        <w:jc w:val="both"/>
        <w:rPr>
          <w:rFonts w:hint="default" w:ascii="Calibri" w:hAnsi="Calibri" w:cs="Calibri"/>
          <w:color w:val="000000"/>
          <w:sz w:val="20"/>
          <w:szCs w:val="20"/>
        </w:rPr>
      </w:pPr>
      <w:r>
        <w:rPr>
          <w:rFonts w:hint="default" w:ascii="Calibri" w:hAnsi="Calibri" w:cs="Calibri"/>
          <w:color w:val="000000"/>
          <w:sz w:val="20"/>
          <w:szCs w:val="20"/>
        </w:rPr>
        <w:t>As comunicações entre o contratante e o contratado deverão ser realizadas por escrito sempre que o ato exigir tal formalidade, admitindo-se o uso de mensagem eletrônica para esse fim.</w:t>
      </w:r>
    </w:p>
    <w:p>
      <w:pPr>
        <w:numPr>
          <w:ilvl w:val="2"/>
          <w:numId w:val="1"/>
        </w:numPr>
        <w:spacing w:after="0" w:line="276" w:lineRule="auto"/>
        <w:jc w:val="both"/>
        <w:rPr>
          <w:rFonts w:hint="default" w:ascii="Calibri" w:hAnsi="Calibri" w:cs="Calibri"/>
          <w:sz w:val="20"/>
          <w:szCs w:val="20"/>
        </w:rPr>
      </w:pPr>
      <w:r>
        <w:rPr>
          <w:rFonts w:hint="default" w:ascii="Calibri" w:hAnsi="Calibri" w:cs="Calibri"/>
          <w:i/>
          <w:iCs/>
          <w:color w:val="FF0000"/>
          <w:sz w:val="20"/>
          <w:szCs w:val="20"/>
        </w:rPr>
        <w:t>Após a assinatura do contrato ou instrumento equivalente</w:t>
      </w:r>
      <w:r>
        <w:rPr>
          <w:rFonts w:hint="default" w:ascii="Calibri" w:hAnsi="Calibri" w:cs="Calibri"/>
          <w:i/>
          <w:iCs/>
          <w:strike/>
          <w:color w:val="FF0000"/>
          <w:sz w:val="20"/>
          <w:szCs w:val="20"/>
        </w:rPr>
        <w:t>,</w:t>
      </w:r>
      <w:r>
        <w:rPr>
          <w:rFonts w:hint="default" w:ascii="Calibri" w:hAnsi="Calibri" w:cs="Calibri"/>
          <w:i/>
          <w:iCs/>
          <w:color w:val="FF0000"/>
          <w:sz w:val="20"/>
          <w:szCs w:val="20"/>
        </w:rPr>
        <w:t xml:space="preserve"> o contratante convocará o representante do contratado para reunião inicial, a fim de apresentar 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 (IN 5/2017, art. 44, 31º).</w:t>
      </w:r>
    </w:p>
    <w:p>
      <w:pPr>
        <w:numPr>
          <w:ilvl w:val="2"/>
          <w:numId w:val="1"/>
        </w:numPr>
        <w:spacing w:after="0" w:line="276" w:lineRule="auto"/>
        <w:jc w:val="both"/>
        <w:rPr>
          <w:rFonts w:hint="default" w:ascii="Calibri" w:hAnsi="Calibri" w:cs="Calibri"/>
          <w:sz w:val="20"/>
          <w:szCs w:val="20"/>
        </w:rPr>
      </w:pPr>
      <w:r>
        <w:rPr>
          <w:rFonts w:hint="default" w:ascii="Calibri" w:hAnsi="Calibri" w:cs="Calibri"/>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pPr>
        <w:numPr>
          <w:ilvl w:val="2"/>
          <w:numId w:val="1"/>
        </w:numPr>
        <w:spacing w:after="0" w:line="276" w:lineRule="auto"/>
        <w:jc w:val="both"/>
        <w:rPr>
          <w:rFonts w:hint="default" w:ascii="Calibri" w:hAnsi="Calibri" w:cs="Calibri"/>
          <w:sz w:val="20"/>
          <w:szCs w:val="20"/>
        </w:rPr>
      </w:pPr>
      <w:r>
        <w:rPr>
          <w:rFonts w:hint="default" w:ascii="Calibri" w:hAnsi="Calibri" w:cs="Calibri"/>
          <w:sz w:val="20"/>
          <w:szCs w:val="20"/>
        </w:rPr>
        <w:t xml:space="preserve">Somente o contratado será responsável pelos encargos trabalhistas, previdenciários, fiscais e comerciais resultantes da execução do contrato (Lei nº 14.133/2021, art. 121, </w:t>
      </w:r>
      <w:r>
        <w:rPr>
          <w:rFonts w:hint="default" w:ascii="Calibri" w:hAnsi="Calibri" w:cs="Calibri"/>
          <w:i/>
          <w:iCs/>
          <w:sz w:val="20"/>
          <w:szCs w:val="20"/>
        </w:rPr>
        <w:t>caput</w:t>
      </w:r>
      <w:r>
        <w:rPr>
          <w:rFonts w:hint="default" w:ascii="Calibri" w:hAnsi="Calibri" w:cs="Calibri"/>
          <w:sz w:val="20"/>
          <w:szCs w:val="20"/>
        </w:rPr>
        <w:t>).</w:t>
      </w:r>
    </w:p>
    <w:p>
      <w:pPr>
        <w:numPr>
          <w:ilvl w:val="3"/>
          <w:numId w:val="1"/>
        </w:numPr>
        <w:tabs>
          <w:tab w:val="left" w:pos="708"/>
        </w:tabs>
        <w:spacing w:after="0" w:line="276" w:lineRule="auto"/>
        <w:contextualSpacing/>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A inadimplência do contratado em relação aos encargos trabalhistas, fiscais e comerciais não transferirá à Administração a responsabilidade pelo seu pagamento e não poderá onerar o objeto do contrato (Lei nº 14.133/2021, art. 121, §1º).</w:t>
      </w:r>
    </w:p>
    <w:p>
      <w:pPr>
        <w:numPr>
          <w:ilvl w:val="2"/>
          <w:numId w:val="1"/>
        </w:numPr>
        <w:spacing w:after="0" w:line="276" w:lineRule="auto"/>
        <w:jc w:val="both"/>
        <w:rPr>
          <w:rFonts w:hint="default" w:ascii="Calibri" w:hAnsi="Calibri" w:cs="Calibri"/>
          <w:color w:val="000000"/>
          <w:sz w:val="20"/>
          <w:szCs w:val="20"/>
        </w:rPr>
      </w:pPr>
      <w:r>
        <w:rPr>
          <w:rFonts w:hint="default" w:ascii="Calibri" w:hAnsi="Calibri" w:cs="Calibri"/>
          <w:color w:val="000000"/>
          <w:sz w:val="20"/>
          <w:szCs w:val="20"/>
        </w:rPr>
        <w:t>Antes do pagamento da nota fiscal ou da fatura, deverá ser consultada a situação do contratado junto ao SICAF.</w:t>
      </w:r>
    </w:p>
    <w:p>
      <w:pPr>
        <w:numPr>
          <w:ilvl w:val="2"/>
          <w:numId w:val="1"/>
        </w:numPr>
        <w:spacing w:after="0"/>
        <w:jc w:val="both"/>
        <w:rPr>
          <w:rFonts w:hint="default" w:ascii="Calibri" w:hAnsi="Calibri" w:cs="Calibri"/>
          <w:color w:val="000000"/>
          <w:sz w:val="20"/>
          <w:szCs w:val="20"/>
        </w:rPr>
      </w:pPr>
      <w:r>
        <w:rPr>
          <w:rFonts w:hint="default" w:ascii="Calibri" w:hAnsi="Calibri" w:cs="Calibri"/>
          <w:color w:val="000000"/>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pPr>
        <w:spacing w:after="0"/>
        <w:ind w:left="1072"/>
        <w:rPr>
          <w:rFonts w:hint="default" w:ascii="Calibri" w:hAnsi="Calibri" w:cs="Calibri"/>
          <w:b/>
          <w:sz w:val="20"/>
          <w:szCs w:val="20"/>
        </w:rPr>
      </w:pPr>
    </w:p>
    <w:p>
      <w:pPr>
        <w:numPr>
          <w:ilvl w:val="1"/>
          <w:numId w:val="19"/>
        </w:numPr>
        <w:spacing w:after="0" w:line="276" w:lineRule="auto"/>
        <w:jc w:val="both"/>
        <w:rPr>
          <w:rFonts w:hint="default" w:ascii="Calibri" w:hAnsi="Calibri" w:cs="Calibri"/>
          <w:sz w:val="20"/>
          <w:szCs w:val="20"/>
        </w:rPr>
      </w:pPr>
      <w:r>
        <w:rPr>
          <w:rFonts w:hint="default" w:ascii="Calibri" w:hAnsi="Calibri" w:cs="Calibri"/>
          <w:b/>
          <w:bCs/>
          <w:sz w:val="20"/>
          <w:szCs w:val="20"/>
        </w:rPr>
        <w:t>DA FISCALIZAÇÃO ADMINISTRATIVA</w:t>
      </w:r>
    </w:p>
    <w:p>
      <w:pPr>
        <w:spacing w:after="0" w:line="276" w:lineRule="auto"/>
        <w:ind w:left="432"/>
        <w:jc w:val="both"/>
        <w:rPr>
          <w:rFonts w:hint="default" w:ascii="Calibri" w:hAnsi="Calibri" w:cs="Calibri"/>
          <w:b/>
          <w:bCs/>
          <w:sz w:val="20"/>
          <w:szCs w:val="20"/>
        </w:rPr>
      </w:pPr>
    </w:p>
    <w:p>
      <w:pPr>
        <w:pStyle w:val="47"/>
        <w:rPr>
          <w:rFonts w:hint="default" w:ascii="Calibri" w:hAnsi="Calibri" w:cs="Calibri"/>
          <w:color w:val="auto"/>
        </w:rPr>
      </w:pPr>
      <w:r>
        <w:rPr>
          <w:rFonts w:hint="default" w:ascii="Calibri" w:hAnsi="Calibri" w:cs="Calibri"/>
          <w:b/>
          <w:bCs/>
          <w:color w:val="auto"/>
        </w:rPr>
        <w:t>Nota Explicativa</w:t>
      </w:r>
      <w:r>
        <w:rPr>
          <w:rFonts w:hint="default" w:ascii="Calibri" w:hAnsi="Calibri" w:cs="Calibri"/>
          <w:color w:val="auto"/>
        </w:rPr>
        <w:t xml:space="preserve">: O conjunto de atividades de gestão e fiscalização compete ao gestor da execução do contrato, podendo ser auxiliado pela fiscalização técnica, administrativa, setorial e pelo público usuário, de acordo com as seguintes disposições (cf. art. 40 da IN SEGES/MP n.º 05/20217, aplicável por força do art. 1º da IN SEGES/ME n.º 75/2021):  </w:t>
      </w:r>
    </w:p>
    <w:p>
      <w:pPr>
        <w:pStyle w:val="47"/>
        <w:rPr>
          <w:rFonts w:hint="default" w:ascii="Calibri" w:hAnsi="Calibri" w:cs="Calibri"/>
          <w:color w:val="auto"/>
        </w:rPr>
      </w:pPr>
      <w:r>
        <w:rPr>
          <w:rFonts w:hint="default" w:ascii="Calibri" w:hAnsi="Calibri" w:cs="Calibri"/>
          <w:color w:val="auto"/>
        </w:rPr>
        <w:t xml:space="preserve">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pPr>
        <w:pStyle w:val="47"/>
        <w:rPr>
          <w:rFonts w:hint="default" w:ascii="Calibri" w:hAnsi="Calibri" w:cs="Calibri"/>
          <w:color w:val="auto"/>
        </w:rPr>
      </w:pPr>
      <w:r>
        <w:rPr>
          <w:rFonts w:hint="default" w:ascii="Calibri" w:hAnsi="Calibri" w:cs="Calibri"/>
          <w:color w:val="auto"/>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pPr>
        <w:pStyle w:val="47"/>
        <w:rPr>
          <w:rFonts w:hint="default" w:ascii="Calibri" w:hAnsi="Calibri" w:cs="Calibri"/>
          <w:color w:val="auto"/>
        </w:rPr>
      </w:pPr>
      <w:r>
        <w:rPr>
          <w:rFonts w:hint="default" w:ascii="Calibri" w:hAnsi="Calibri" w:cs="Calibri"/>
          <w:color w:val="auto"/>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pPr>
        <w:pStyle w:val="47"/>
        <w:rPr>
          <w:rFonts w:hint="default" w:ascii="Calibri" w:hAnsi="Calibri" w:cs="Calibri"/>
          <w:color w:val="auto"/>
        </w:rPr>
      </w:pPr>
      <w:r>
        <w:rPr>
          <w:rFonts w:hint="default" w:ascii="Calibri" w:hAnsi="Calibri" w:cs="Calibri"/>
          <w:color w:val="auto"/>
        </w:rPr>
        <w:t xml:space="preserve">IV – Fiscalização Setorial: é o acompanhamento da execução do contrato nos aspectos técnicos ou administrativos, quando a prestação dos serviços ocorrer concomitantemente em setores distintos ou em unidades desconcentradas de um mesmo órgão ou entidade; e  </w:t>
      </w:r>
    </w:p>
    <w:p>
      <w:pPr>
        <w:pStyle w:val="47"/>
        <w:rPr>
          <w:rFonts w:hint="default" w:ascii="Calibri" w:hAnsi="Calibri" w:cs="Calibri"/>
          <w:color w:val="auto"/>
        </w:rPr>
      </w:pPr>
      <w:r>
        <w:rPr>
          <w:rFonts w:hint="default" w:ascii="Calibri" w:hAnsi="Calibri" w:cs="Calibri"/>
          <w:color w:val="auto"/>
        </w:rPr>
        <w:t>V - Fiscalização pelo Público Usuário: é o acompanhamento da execução contratual por pesquisa de satisfação junto ao usuário, com o objetivo de aferir os resultados da prestação dos serviços, os recursos materiais e os procedimentos utilizados pelo contratado, quando for o caso, ou outro fator determinante para a avaliação dos aspectos qualitativos do objeto.  Quando a contratação exigir fiscalização setorial, o órgão ou entidade deverá designar representantes nesses locais para atuarem como fiscais setoriais.</w:t>
      </w:r>
    </w:p>
    <w:p>
      <w:pPr>
        <w:pStyle w:val="47"/>
        <w:rPr>
          <w:rFonts w:hint="default" w:ascii="Calibri" w:hAnsi="Calibri" w:cs="Calibri"/>
          <w:color w:val="auto"/>
        </w:rPr>
      </w:pPr>
      <w:r>
        <w:rPr>
          <w:rFonts w:hint="default" w:ascii="Calibri" w:hAnsi="Calibri" w:cs="Calibri"/>
          <w:color w:val="auto"/>
        </w:rPr>
        <w:t>As atividades de gestão e fiscalização da execução contratual devem ser realizadas de forma preventiva, rotineira e sistemática, podendo ser exercidas por servidores, equipe de fiscalização ou único servidor (art.117, da Lei n.º 14.133/2021), desde que, no exercício dessas atribuições, fique assegurada a distinção dessas atividades e, em razão do volume de trabalho, não comprometa o desempenho de todas as ações relacionadas à gestão do contrato.</w:t>
      </w:r>
    </w:p>
    <w:p>
      <w:pPr>
        <w:spacing w:after="0"/>
        <w:ind w:left="1072"/>
        <w:jc w:val="both"/>
        <w:rPr>
          <w:rFonts w:hint="default" w:ascii="Calibri" w:hAnsi="Calibri" w:cs="Calibri"/>
          <w:color w:val="000000"/>
          <w:sz w:val="20"/>
          <w:szCs w:val="20"/>
        </w:rPr>
      </w:pPr>
    </w:p>
    <w:p>
      <w:pPr>
        <w:numPr>
          <w:ilvl w:val="2"/>
          <w:numId w:val="1"/>
        </w:numPr>
        <w:spacing w:after="0"/>
        <w:jc w:val="both"/>
        <w:rPr>
          <w:rFonts w:hint="default" w:ascii="Calibri" w:hAnsi="Calibri" w:eastAsia="Times New Roman" w:cs="Calibri"/>
          <w:sz w:val="20"/>
          <w:szCs w:val="20"/>
        </w:rPr>
      </w:pPr>
      <w:r>
        <w:rPr>
          <w:rFonts w:hint="default" w:ascii="Calibri" w:hAnsi="Calibri" w:eastAsia="Times New Roman" w:cs="Calibri"/>
          <w:sz w:val="20"/>
          <w:szCs w:val="20"/>
        </w:rPr>
        <w:t>A fiscalização administrativa poderá ser efetivada com base em critérios estatísticos, levando-</w:t>
      </w:r>
      <w:r>
        <w:rPr>
          <w:rFonts w:hint="default" w:ascii="Calibri" w:hAnsi="Calibri" w:cs="Calibri"/>
          <w:sz w:val="20"/>
          <w:szCs w:val="20"/>
        </w:rPr>
        <w:t>se</w:t>
      </w:r>
      <w:r>
        <w:rPr>
          <w:rFonts w:hint="default" w:ascii="Calibri" w:hAnsi="Calibri" w:eastAsia="Times New Roman" w:cs="Calibri"/>
          <w:sz w:val="20"/>
          <w:szCs w:val="20"/>
          <w:lang w:eastAsia="pt-BR"/>
        </w:rPr>
        <w:t xml:space="preserve"> em consideração falhas que impactem o contrato como um todo e não apenas erros e falhas</w:t>
      </w:r>
      <w:r>
        <w:rPr>
          <w:rFonts w:hint="default" w:ascii="Calibri" w:hAnsi="Calibri" w:eastAsia="Times New Roman" w:cs="Calibri"/>
          <w:sz w:val="20"/>
          <w:szCs w:val="20"/>
        </w:rPr>
        <w:t xml:space="preserve"> eventuais no pagamento de alguma vantagem a um determinado empregado.</w:t>
      </w:r>
    </w:p>
    <w:p>
      <w:pPr>
        <w:numPr>
          <w:ilvl w:val="2"/>
          <w:numId w:val="1"/>
        </w:numPr>
        <w:spacing w:after="0"/>
        <w:jc w:val="both"/>
        <w:rPr>
          <w:rFonts w:hint="default" w:ascii="Calibri" w:hAnsi="Calibri" w:eastAsia="Times New Roman" w:cs="Calibri"/>
          <w:sz w:val="20"/>
          <w:szCs w:val="20"/>
        </w:rPr>
      </w:pPr>
      <w:r>
        <w:rPr>
          <w:rFonts w:hint="default" w:ascii="Calibri" w:hAnsi="Calibri" w:eastAsia="Times New Roman" w:cs="Calibri"/>
          <w:sz w:val="20"/>
          <w:szCs w:val="20"/>
        </w:rPr>
        <w:t xml:space="preserve">Na fiscalização do cumprimento das obrigações trabalhistas e sociais exigir-se-ão, dentre outras, as seguintes comprovações (os documentos poderão ser originais ou cópias autenticadas por cartório competente ou por servidor da Administração), no caso de empresas regidas pela Consolidação das Leis do Trabalho (CLT): </w:t>
      </w:r>
    </w:p>
    <w:p>
      <w:pPr>
        <w:pStyle w:val="39"/>
        <w:numPr>
          <w:ilvl w:val="3"/>
          <w:numId w:val="20"/>
        </w:numPr>
        <w:spacing w:before="120" w:after="120" w:line="276" w:lineRule="auto"/>
        <w:jc w:val="both"/>
        <w:rPr>
          <w:rFonts w:hint="default" w:ascii="Calibri" w:hAnsi="Calibri" w:eastAsia="Times New Roman" w:cs="Calibri"/>
          <w:sz w:val="20"/>
          <w:szCs w:val="20"/>
        </w:rPr>
      </w:pPr>
      <w:bookmarkStart w:id="2" w:name="_Ref72763616"/>
      <w:r>
        <w:rPr>
          <w:rFonts w:hint="default" w:ascii="Calibri" w:hAnsi="Calibri" w:eastAsia="Times New Roman" w:cs="Calibri"/>
          <w:sz w:val="20"/>
          <w:szCs w:val="20"/>
        </w:rPr>
        <w:t>no primeiro mês da prestação dos serviços, o contratado deverá apresentar a seguinte documentação:</w:t>
      </w:r>
      <w:bookmarkEnd w:id="2"/>
      <w:r>
        <w:rPr>
          <w:rFonts w:hint="default" w:ascii="Calibri" w:hAnsi="Calibri" w:eastAsia="Times New Roman" w:cs="Calibri"/>
          <w:sz w:val="20"/>
          <w:szCs w:val="20"/>
        </w:rPr>
        <w:t xml:space="preserve">  </w:t>
      </w:r>
    </w:p>
    <w:p>
      <w:pPr>
        <w:numPr>
          <w:ilvl w:val="3"/>
          <w:numId w:val="21"/>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pPr>
        <w:numPr>
          <w:ilvl w:val="3"/>
          <w:numId w:val="21"/>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Carteira de Trabalho e Previdência Social (CTPS) dos empregados admitidos e dos responsáveis técnicos pela execução dos serviços, quando for o caso, devidamente assinada pelo contratado; </w:t>
      </w:r>
    </w:p>
    <w:p>
      <w:pPr>
        <w:numPr>
          <w:ilvl w:val="3"/>
          <w:numId w:val="21"/>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exames médicos admissionais dos empregados do contratado que prestarão os serviços; e</w:t>
      </w:r>
    </w:p>
    <w:p>
      <w:pPr>
        <w:numPr>
          <w:ilvl w:val="3"/>
          <w:numId w:val="21"/>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declaração de responsabilidade exclusiva do contratado sobre a quitação dos encargos trabalhistas e sociais decorrentes do contrato.</w:t>
      </w:r>
    </w:p>
    <w:p>
      <w:pPr>
        <w:pStyle w:val="39"/>
        <w:numPr>
          <w:ilvl w:val="3"/>
          <w:numId w:val="20"/>
        </w:numPr>
        <w:spacing w:before="120" w:after="120" w:line="276" w:lineRule="auto"/>
        <w:jc w:val="both"/>
        <w:rPr>
          <w:rFonts w:hint="default" w:ascii="Calibri" w:hAnsi="Calibri" w:eastAsia="Times New Roman" w:cs="Calibri"/>
          <w:sz w:val="20"/>
          <w:szCs w:val="20"/>
        </w:rPr>
      </w:pPr>
      <w:r>
        <w:rPr>
          <w:rFonts w:hint="default" w:ascii="Calibri" w:hAnsi="Calibri" w:eastAsia="Times New Roman" w:cs="Calibri"/>
          <w:sz w:val="20"/>
          <w:szCs w:val="20"/>
        </w:rPr>
        <w:t xml:space="preserve">até o dia trinta do mês seguinte ao da prestação dos serviços, o contratado deverá entregar ao setor responsável pela fiscalização do contrato os seguintes documentos, quando não for possível a verificação da regularidade destes no Sistema de Cadastro de Fornecedores (SICAF): </w:t>
      </w:r>
    </w:p>
    <w:p>
      <w:pPr>
        <w:numPr>
          <w:ilvl w:val="3"/>
          <w:numId w:val="22"/>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Certidão Negativa de Débitos relativos a Créditos Tributários Federais e à Dívida Ativa da União (CND);  </w:t>
      </w:r>
    </w:p>
    <w:p>
      <w:pPr>
        <w:numPr>
          <w:ilvl w:val="3"/>
          <w:numId w:val="22"/>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certidões que comprovem a regularidade perante as Fazendas Estadual, Distrital e Municipal do domicílio ou sede do contratado;  </w:t>
      </w:r>
    </w:p>
    <w:p>
      <w:pPr>
        <w:numPr>
          <w:ilvl w:val="3"/>
          <w:numId w:val="22"/>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Certidão de Regularidade do FGTS (CRF); e  </w:t>
      </w:r>
    </w:p>
    <w:p>
      <w:pPr>
        <w:numPr>
          <w:ilvl w:val="3"/>
          <w:numId w:val="22"/>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Certidão Negativa de Débitos Trabalhistas (CNDT).  </w:t>
      </w:r>
    </w:p>
    <w:p>
      <w:pPr>
        <w:pStyle w:val="39"/>
        <w:numPr>
          <w:ilvl w:val="3"/>
          <w:numId w:val="20"/>
        </w:numPr>
        <w:spacing w:before="120" w:after="120" w:line="276" w:lineRule="auto"/>
        <w:jc w:val="both"/>
        <w:rPr>
          <w:rFonts w:hint="default" w:ascii="Calibri" w:hAnsi="Calibri" w:eastAsia="Times New Roman" w:cs="Calibri"/>
          <w:sz w:val="20"/>
          <w:szCs w:val="20"/>
        </w:rPr>
      </w:pPr>
      <w:bookmarkStart w:id="3" w:name="_Ref105542084"/>
      <w:r>
        <w:rPr>
          <w:rFonts w:hint="default" w:ascii="Calibri" w:hAnsi="Calibri" w:cs="Calibri"/>
          <w:sz w:val="20"/>
          <w:szCs w:val="20"/>
        </w:rPr>
        <w:t xml:space="preserve">quando </w:t>
      </w:r>
      <w:r>
        <w:rPr>
          <w:rFonts w:hint="default" w:ascii="Calibri" w:hAnsi="Calibri" w:eastAsia="Times New Roman" w:cs="Calibri"/>
          <w:sz w:val="20"/>
          <w:szCs w:val="20"/>
        </w:rPr>
        <w:t>solicitado</w:t>
      </w:r>
      <w:r>
        <w:rPr>
          <w:rFonts w:hint="default" w:ascii="Calibri" w:hAnsi="Calibri" w:cs="Calibri"/>
          <w:sz w:val="20"/>
          <w:szCs w:val="20"/>
        </w:rPr>
        <w:t xml:space="preserve"> pelo contratante e no prazo fixado, o contratado deverá entregar ao setor responsável pela fiscalização do contrato os documentos comprobatórios </w:t>
      </w:r>
      <w:r>
        <w:rPr>
          <w:rFonts w:hint="default" w:ascii="Calibri" w:hAnsi="Calibri" w:eastAsia="Times New Roman" w:cs="Calibri"/>
          <w:sz w:val="20"/>
          <w:szCs w:val="20"/>
        </w:rPr>
        <w:t xml:space="preserve">do cumprimento das obrigações trabalhistas e com o Fundo de Garantia do Tempo de Serviço (FGTS) em relação a qualquer dos empregados diretamente envolvidos na execução do contrato, em especial quanto aos seguintes documentos, </w:t>
      </w:r>
      <w:r>
        <w:rPr>
          <w:rFonts w:hint="default" w:ascii="Calibri" w:hAnsi="Calibri" w:cs="Calibri"/>
          <w:sz w:val="20"/>
          <w:szCs w:val="20"/>
        </w:rPr>
        <w:t>relativos a qualquer mês da prestação dos serviços</w:t>
      </w:r>
      <w:r>
        <w:rPr>
          <w:rFonts w:hint="default" w:ascii="Calibri" w:hAnsi="Calibri" w:eastAsia="Times New Roman" w:cs="Calibri"/>
          <w:sz w:val="20"/>
          <w:szCs w:val="20"/>
        </w:rPr>
        <w:t>: (art. 50 da Lei n.º 14.133/2021)</w:t>
      </w:r>
      <w:bookmarkEnd w:id="3"/>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registro de ponto;</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recibo de pagamento de salários, adicionais, horas extras, repouso semanal remunerado e décimo terceiro salário;</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comprovante de depósito do FGTS;</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recibo de concessão e pagamento de férias e do respectivo adicional;</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recibo de quitação de obrigações trabalhistas e previdenciárias dos empregados dispensados até a data da extinção do contrato;</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recibo de pagamento de vale-transporte e vale-alimentação, na forma prevista em norma coletiva;</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comprovantes de entrega de outros benefícios suplementares a que estiver obrigado por força de lei, acordo, convenção ou dissídio coletivo de trabalho; </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extrato da conta do INSS e do FGTS do empregado; </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cópia da folha de pagamento analítica, em que conste como tomador o contratante;</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cópia dos contracheques dos empregados;</w:t>
      </w:r>
    </w:p>
    <w:p>
      <w:pPr>
        <w:numPr>
          <w:ilvl w:val="3"/>
          <w:numId w:val="23"/>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comprovantes de realização de eventuais cursos de treinamento e reciclagem que forem exigidos por lei ou pelo contrato.</w:t>
      </w:r>
    </w:p>
    <w:p>
      <w:pPr>
        <w:pStyle w:val="39"/>
        <w:numPr>
          <w:ilvl w:val="3"/>
          <w:numId w:val="20"/>
        </w:numPr>
        <w:spacing w:before="120" w:after="120" w:line="276" w:lineRule="auto"/>
        <w:jc w:val="both"/>
        <w:rPr>
          <w:rFonts w:hint="default" w:ascii="Calibri" w:hAnsi="Calibri" w:eastAsia="Times New Roman" w:cs="Calibri"/>
          <w:sz w:val="20"/>
          <w:szCs w:val="20"/>
        </w:rPr>
      </w:pPr>
      <w:bookmarkStart w:id="4" w:name="_Ref105542093"/>
      <w:r>
        <w:rPr>
          <w:rFonts w:hint="default" w:ascii="Calibri" w:hAnsi="Calibri" w:eastAsia="Times New Roman" w:cs="Calibri"/>
          <w:sz w:val="20"/>
          <w:szCs w:val="20"/>
        </w:rPr>
        <w:t>o contratado deverá entregar ao setor responsável pela fiscalização do contrato cópia da documentação abaixo relacionada,</w:t>
      </w:r>
      <w:r>
        <w:rPr>
          <w:rFonts w:hint="default" w:ascii="Calibri" w:hAnsi="Calibri" w:eastAsia="Times New Roman" w:cs="Calibri"/>
          <w:color w:val="FF0000"/>
          <w:sz w:val="20"/>
          <w:szCs w:val="20"/>
        </w:rPr>
        <w:t xml:space="preserve"> </w:t>
      </w:r>
      <w:r>
        <w:rPr>
          <w:rFonts w:hint="default" w:ascii="Calibri" w:hAnsi="Calibri" w:eastAsia="Times New Roman" w:cs="Calibri"/>
          <w:sz w:val="20"/>
          <w:szCs w:val="20"/>
        </w:rPr>
        <w:t xml:space="preserve">quando da extinção ou rescisão do contrato, em </w:t>
      </w:r>
      <w:r>
        <w:rPr>
          <w:rFonts w:hint="default" w:ascii="Calibri" w:hAnsi="Calibri" w:eastAsia="Times New Roman" w:cs="Calibri"/>
          <w:color w:val="FF0000"/>
          <w:sz w:val="20"/>
          <w:szCs w:val="20"/>
        </w:rPr>
        <w:t xml:space="preserve">........ </w:t>
      </w:r>
      <w:r>
        <w:rPr>
          <w:rFonts w:hint="default" w:ascii="Calibri" w:hAnsi="Calibri" w:eastAsia="Times New Roman" w:cs="Calibri"/>
          <w:i/>
          <w:iCs/>
          <w:color w:val="FF0000"/>
          <w:sz w:val="20"/>
          <w:szCs w:val="20"/>
        </w:rPr>
        <w:t>(indicar o prazo a ser observado)</w:t>
      </w:r>
      <w:r>
        <w:rPr>
          <w:rFonts w:hint="default" w:ascii="Calibri" w:hAnsi="Calibri" w:eastAsia="Times New Roman" w:cs="Calibri"/>
          <w:color w:val="FF0000"/>
          <w:sz w:val="20"/>
          <w:szCs w:val="20"/>
        </w:rPr>
        <w:t xml:space="preserve"> </w:t>
      </w:r>
      <w:r>
        <w:rPr>
          <w:rFonts w:hint="default" w:ascii="Calibri" w:hAnsi="Calibri" w:eastAsia="Times New Roman" w:cs="Calibri"/>
          <w:sz w:val="20"/>
          <w:szCs w:val="20"/>
        </w:rPr>
        <w:t>após o último mês de prestação dos serviços:</w:t>
      </w:r>
      <w:bookmarkEnd w:id="4"/>
      <w:r>
        <w:rPr>
          <w:rFonts w:hint="default" w:ascii="Calibri" w:hAnsi="Calibri" w:eastAsia="Times New Roman" w:cs="Calibri"/>
          <w:sz w:val="20"/>
          <w:szCs w:val="20"/>
        </w:rPr>
        <w:t xml:space="preserve">  </w:t>
      </w:r>
    </w:p>
    <w:p>
      <w:pPr>
        <w:numPr>
          <w:ilvl w:val="3"/>
          <w:numId w:val="24"/>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termos de rescisão dos contratos de trabalho dos empregados prestadores de serviço, devidamente homologados, quando exigível pelo sindicato da categoria; </w:t>
      </w:r>
    </w:p>
    <w:p>
      <w:pPr>
        <w:numPr>
          <w:ilvl w:val="3"/>
          <w:numId w:val="24"/>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guias de recolhimento da contribuição previdenciária e do FGTS, referentes às rescisões contratuais;  </w:t>
      </w:r>
    </w:p>
    <w:p>
      <w:pPr>
        <w:numPr>
          <w:ilvl w:val="3"/>
          <w:numId w:val="24"/>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extratos dos depósitos efetuados nas contas vinculadas individuais do FGTS de cada empregado dispensado;  </w:t>
      </w:r>
    </w:p>
    <w:p>
      <w:pPr>
        <w:numPr>
          <w:ilvl w:val="3"/>
          <w:numId w:val="24"/>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exames médicos demissionais dos empregados dispensados.  </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Nas hipóteses dos subitens </w:t>
      </w:r>
      <w:r>
        <w:rPr>
          <w:rFonts w:hint="default" w:ascii="Calibri" w:hAnsi="Calibri" w:eastAsia="Times New Roman" w:cs="Calibri"/>
          <w:sz w:val="20"/>
          <w:szCs w:val="20"/>
          <w:lang w:eastAsia="pt-BR"/>
        </w:rPr>
        <w:fldChar w:fldCharType="begin"/>
      </w:r>
      <w:r>
        <w:rPr>
          <w:rFonts w:hint="default" w:ascii="Calibri" w:hAnsi="Calibri" w:eastAsia="Times New Roman" w:cs="Calibri"/>
          <w:sz w:val="20"/>
          <w:szCs w:val="20"/>
          <w:lang w:eastAsia="pt-BR"/>
        </w:rPr>
        <w:instrText xml:space="preserve"> REF _Ref72763616 \r \h  \* MERGEFORMAT </w:instrText>
      </w:r>
      <w:r>
        <w:rPr>
          <w:rFonts w:hint="default" w:ascii="Calibri" w:hAnsi="Calibri" w:eastAsia="Times New Roman" w:cs="Calibri"/>
          <w:sz w:val="20"/>
          <w:szCs w:val="20"/>
          <w:lang w:eastAsia="pt-BR"/>
        </w:rPr>
        <w:fldChar w:fldCharType="separate"/>
      </w:r>
      <w:r>
        <w:rPr>
          <w:rFonts w:hint="default" w:ascii="Calibri" w:hAnsi="Calibri" w:eastAsia="Times New Roman" w:cs="Calibri"/>
          <w:sz w:val="20"/>
          <w:szCs w:val="20"/>
          <w:lang w:eastAsia="pt-BR"/>
        </w:rPr>
        <w:t>10.2.2.1</w:t>
      </w:r>
      <w:r>
        <w:rPr>
          <w:rFonts w:hint="default" w:ascii="Calibri" w:hAnsi="Calibri" w:eastAsia="Times New Roman" w:cs="Calibri"/>
          <w:sz w:val="20"/>
          <w:szCs w:val="20"/>
          <w:lang w:eastAsia="pt-BR"/>
        </w:rPr>
        <w:fldChar w:fldCharType="end"/>
      </w:r>
      <w:r>
        <w:rPr>
          <w:rFonts w:hint="default" w:ascii="Calibri" w:hAnsi="Calibri" w:eastAsia="Times New Roman" w:cs="Calibri"/>
          <w:sz w:val="20"/>
          <w:szCs w:val="20"/>
          <w:lang w:eastAsia="pt-BR"/>
        </w:rPr>
        <w:t xml:space="preserve">, </w:t>
      </w:r>
      <w:r>
        <w:rPr>
          <w:rFonts w:hint="default" w:ascii="Calibri" w:hAnsi="Calibri" w:eastAsia="Times New Roman" w:cs="Calibri"/>
          <w:sz w:val="20"/>
          <w:szCs w:val="20"/>
          <w:lang w:eastAsia="pt-BR"/>
        </w:rPr>
        <w:fldChar w:fldCharType="begin"/>
      </w:r>
      <w:r>
        <w:rPr>
          <w:rFonts w:hint="default" w:ascii="Calibri" w:hAnsi="Calibri" w:eastAsia="Times New Roman" w:cs="Calibri"/>
          <w:sz w:val="20"/>
          <w:szCs w:val="20"/>
          <w:lang w:eastAsia="pt-BR"/>
        </w:rPr>
        <w:instrText xml:space="preserve"> REF _Ref105542084 \r \h  \* MERGEFORMAT </w:instrText>
      </w:r>
      <w:r>
        <w:rPr>
          <w:rFonts w:hint="default" w:ascii="Calibri" w:hAnsi="Calibri" w:eastAsia="Times New Roman" w:cs="Calibri"/>
          <w:sz w:val="20"/>
          <w:szCs w:val="20"/>
          <w:lang w:eastAsia="pt-BR"/>
        </w:rPr>
        <w:fldChar w:fldCharType="separate"/>
      </w:r>
      <w:r>
        <w:rPr>
          <w:rFonts w:hint="default" w:ascii="Calibri" w:hAnsi="Calibri" w:eastAsia="Times New Roman" w:cs="Calibri"/>
          <w:sz w:val="20"/>
          <w:szCs w:val="20"/>
          <w:lang w:eastAsia="pt-BR"/>
        </w:rPr>
        <w:t>10.2.2.3</w:t>
      </w:r>
      <w:r>
        <w:rPr>
          <w:rFonts w:hint="default" w:ascii="Calibri" w:hAnsi="Calibri" w:eastAsia="Times New Roman" w:cs="Calibri"/>
          <w:sz w:val="20"/>
          <w:szCs w:val="20"/>
          <w:lang w:eastAsia="pt-BR"/>
        </w:rPr>
        <w:fldChar w:fldCharType="end"/>
      </w:r>
      <w:r>
        <w:rPr>
          <w:rFonts w:hint="default" w:ascii="Calibri" w:hAnsi="Calibri" w:eastAsia="Times New Roman" w:cs="Calibri"/>
          <w:sz w:val="20"/>
          <w:szCs w:val="20"/>
          <w:lang w:eastAsia="pt-BR"/>
        </w:rPr>
        <w:t xml:space="preserve"> e </w:t>
      </w:r>
      <w:r>
        <w:rPr>
          <w:rFonts w:hint="default" w:ascii="Calibri" w:hAnsi="Calibri" w:eastAsia="Times New Roman" w:cs="Calibri"/>
          <w:sz w:val="20"/>
          <w:szCs w:val="20"/>
          <w:lang w:eastAsia="pt-BR"/>
        </w:rPr>
        <w:fldChar w:fldCharType="begin"/>
      </w:r>
      <w:r>
        <w:rPr>
          <w:rFonts w:hint="default" w:ascii="Calibri" w:hAnsi="Calibri" w:eastAsia="Times New Roman" w:cs="Calibri"/>
          <w:sz w:val="20"/>
          <w:szCs w:val="20"/>
          <w:lang w:eastAsia="pt-BR"/>
        </w:rPr>
        <w:instrText xml:space="preserve"> REF _Ref105542093 \r \h  \* MERGEFORMAT </w:instrText>
      </w:r>
      <w:r>
        <w:rPr>
          <w:rFonts w:hint="default" w:ascii="Calibri" w:hAnsi="Calibri" w:eastAsia="Times New Roman" w:cs="Calibri"/>
          <w:sz w:val="20"/>
          <w:szCs w:val="20"/>
          <w:lang w:eastAsia="pt-BR"/>
        </w:rPr>
        <w:fldChar w:fldCharType="separate"/>
      </w:r>
      <w:r>
        <w:rPr>
          <w:rFonts w:hint="default" w:ascii="Calibri" w:hAnsi="Calibri" w:eastAsia="Times New Roman" w:cs="Calibri"/>
          <w:sz w:val="20"/>
          <w:szCs w:val="20"/>
          <w:lang w:eastAsia="pt-BR"/>
        </w:rPr>
        <w:t>10.2.2.4</w:t>
      </w:r>
      <w:r>
        <w:rPr>
          <w:rFonts w:hint="default" w:ascii="Calibri" w:hAnsi="Calibri" w:eastAsia="Times New Roman" w:cs="Calibri"/>
          <w:sz w:val="20"/>
          <w:szCs w:val="20"/>
          <w:lang w:eastAsia="pt-BR"/>
        </w:rPr>
        <w:fldChar w:fldCharType="end"/>
      </w:r>
      <w:r>
        <w:rPr>
          <w:rFonts w:hint="default" w:ascii="Calibri" w:hAnsi="Calibri" w:eastAsia="Times New Roman" w:cs="Calibri"/>
          <w:sz w:val="20"/>
          <w:szCs w:val="20"/>
          <w:lang w:eastAsia="pt-BR"/>
        </w:rPr>
        <w:t xml:space="preserve"> acima, a não apresentação dos documentos solicitados pela fiscalização contratual no prazo por ela fixado acarretará a aplicação de multa ao contratado, conforme previsão especifica constante no Termo de Contrato (art. 50, da Lei n.º 14.133/2021).</w:t>
      </w:r>
    </w:p>
    <w:p>
      <w:pPr>
        <w:numPr>
          <w:ilvl w:val="2"/>
          <w:numId w:val="1"/>
        </w:numPr>
        <w:spacing w:after="0"/>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A cada período de 12 meses de vigência do contrato de trabalho, o contratado deverá encaminhar termo de quitação anual das obrigações trabalhistas, na forma do art. 507-B da CLT, ou comprovar a adoção de providências voltadas à sua obtenção, relativamente aos empregados alocados, em dedicação exclusiva, na prestação dos serviços contratados.</w:t>
      </w:r>
    </w:p>
    <w:p>
      <w:pPr>
        <w:pStyle w:val="39"/>
        <w:numPr>
          <w:ilvl w:val="3"/>
          <w:numId w:val="25"/>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 termo de quitação anual efetivado deverá ser firmado junto ao respectivo Sindicato dos Empregados e obedecerá ao disposto no art. 507-B, parágrafo único, da CLT.</w:t>
      </w:r>
    </w:p>
    <w:p>
      <w:pPr>
        <w:pStyle w:val="39"/>
        <w:numPr>
          <w:ilvl w:val="3"/>
          <w:numId w:val="25"/>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Para fins de comprovação da adoção das providências a que se refere o presente item, será aceito qualquer meio de prova, tais como: recibo de convocação, declaração de negativa de negociação, ata de negociação, dentre outros.</w:t>
      </w:r>
    </w:p>
    <w:p>
      <w:pPr>
        <w:pStyle w:val="39"/>
        <w:numPr>
          <w:ilvl w:val="3"/>
          <w:numId w:val="25"/>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Não haverá pagamento adicional pelo contratante ao contratado em razão do cumprimento das obrigações previstas neste item.</w:t>
      </w:r>
    </w:p>
    <w:p>
      <w:pPr>
        <w:pBdr>
          <w:top w:val="single" w:color="1F497D" w:sz="4" w:space="1"/>
          <w:left w:val="single" w:color="1F497D" w:sz="4" w:space="4"/>
          <w:bottom w:val="single" w:color="1F497D" w:sz="4" w:space="0"/>
          <w:right w:val="single" w:color="1F497D" w:sz="4" w:space="4"/>
        </w:pBdr>
        <w:shd w:val="clear" w:color="auto" w:fill="FFFFCC"/>
        <w:spacing w:after="0" w:line="240" w:lineRule="auto"/>
        <w:ind w:right="-15"/>
        <w:jc w:val="both"/>
        <w:rPr>
          <w:rFonts w:hint="default" w:ascii="Calibri" w:hAnsi="Calibri" w:eastAsia="Times New Roman" w:cs="Calibri"/>
          <w:i/>
          <w:sz w:val="20"/>
          <w:szCs w:val="20"/>
        </w:rPr>
      </w:pPr>
      <w:r>
        <w:rPr>
          <w:rFonts w:hint="default" w:ascii="Calibri" w:hAnsi="Calibri" w:eastAsia="Times New Roman" w:cs="Calibri"/>
          <w:b/>
          <w:bCs/>
          <w:i/>
          <w:sz w:val="20"/>
          <w:szCs w:val="20"/>
        </w:rPr>
        <w:t>Nota Explicativa</w:t>
      </w:r>
      <w:r>
        <w:rPr>
          <w:rFonts w:hint="default" w:ascii="Calibri" w:hAnsi="Calibri" w:eastAsia="Times New Roman" w:cs="Calibri"/>
          <w:i/>
          <w:sz w:val="20"/>
          <w:szCs w:val="20"/>
        </w:rPr>
        <w:t xml:space="preserve">: A administração não pode obrigar o empregado a fazer a quitação do art. 507-B da CLT, de modo que a obrigação em questão é para que a empresa envide esforços nesse sentido. </w:t>
      </w:r>
    </w:p>
    <w:p>
      <w:pPr>
        <w:spacing w:after="0"/>
        <w:ind w:left="1072"/>
        <w:jc w:val="both"/>
        <w:rPr>
          <w:rFonts w:hint="default" w:ascii="Calibri" w:hAnsi="Calibri" w:eastAsia="Times New Roman" w:cs="Calibri"/>
          <w:sz w:val="20"/>
          <w:szCs w:val="20"/>
        </w:rPr>
      </w:pPr>
    </w:p>
    <w:p>
      <w:pPr>
        <w:numPr>
          <w:ilvl w:val="2"/>
          <w:numId w:val="1"/>
        </w:numPr>
        <w:spacing w:after="0"/>
        <w:jc w:val="both"/>
        <w:rPr>
          <w:rFonts w:hint="default" w:ascii="Calibri" w:hAnsi="Calibri" w:eastAsia="Times New Roman" w:cs="Calibri"/>
          <w:sz w:val="20"/>
          <w:szCs w:val="20"/>
        </w:rPr>
      </w:pPr>
      <w:r>
        <w:rPr>
          <w:rFonts w:hint="default" w:ascii="Calibri" w:hAnsi="Calibri" w:eastAsia="Times New Roman" w:cs="Calibri"/>
          <w:sz w:val="20"/>
          <w:szCs w:val="20"/>
        </w:rPr>
        <w:t xml:space="preserve">No caso de sociedades diversas, tais como as Organizações Sociais, será exigida a comprovação de atendimento a eventuais obrigações decorrentes da legislação que rege as respectivas organizações. </w:t>
      </w:r>
    </w:p>
    <w:p>
      <w:pPr>
        <w:numPr>
          <w:ilvl w:val="2"/>
          <w:numId w:val="1"/>
        </w:numPr>
        <w:spacing w:after="0"/>
        <w:jc w:val="both"/>
        <w:rPr>
          <w:rFonts w:hint="default" w:ascii="Calibri" w:hAnsi="Calibri" w:eastAsia="Times New Roman" w:cs="Calibri"/>
          <w:sz w:val="20"/>
          <w:szCs w:val="20"/>
        </w:rPr>
      </w:pPr>
      <w:r>
        <w:rPr>
          <w:rFonts w:hint="default" w:ascii="Calibri" w:hAnsi="Calibri" w:eastAsia="Times New Roman" w:cs="Calibri"/>
          <w:sz w:val="20"/>
          <w:szCs w:val="20"/>
        </w:rPr>
        <w:t xml:space="preserve">Sempre que houver admissão de novos empregados pelo contratado, os documentos elencados no subitem </w:t>
      </w:r>
      <w:r>
        <w:rPr>
          <w:rFonts w:hint="default" w:ascii="Calibri" w:hAnsi="Calibri" w:eastAsia="Times New Roman" w:cs="Calibri"/>
          <w:sz w:val="20"/>
          <w:szCs w:val="20"/>
        </w:rPr>
        <w:fldChar w:fldCharType="begin"/>
      </w:r>
      <w:r>
        <w:rPr>
          <w:rFonts w:hint="default" w:ascii="Calibri" w:hAnsi="Calibri" w:eastAsia="Times New Roman" w:cs="Calibri"/>
          <w:sz w:val="20"/>
          <w:szCs w:val="20"/>
        </w:rPr>
        <w:instrText xml:space="preserve"> REF _Ref72763616 \r \h  \* MERGEFORMAT </w:instrText>
      </w:r>
      <w:r>
        <w:rPr>
          <w:rFonts w:hint="default" w:ascii="Calibri" w:hAnsi="Calibri" w:eastAsia="Times New Roman" w:cs="Calibri"/>
          <w:sz w:val="20"/>
          <w:szCs w:val="20"/>
        </w:rPr>
        <w:fldChar w:fldCharType="separate"/>
      </w:r>
      <w:r>
        <w:rPr>
          <w:rFonts w:hint="default" w:ascii="Calibri" w:hAnsi="Calibri" w:eastAsia="Times New Roman" w:cs="Calibri"/>
          <w:sz w:val="20"/>
          <w:szCs w:val="20"/>
        </w:rPr>
        <w:t>10.2.2.1</w:t>
      </w:r>
      <w:r>
        <w:rPr>
          <w:rFonts w:hint="default" w:ascii="Calibri" w:hAnsi="Calibri" w:eastAsia="Times New Roman" w:cs="Calibri"/>
          <w:sz w:val="20"/>
          <w:szCs w:val="20"/>
        </w:rPr>
        <w:fldChar w:fldCharType="end"/>
      </w:r>
      <w:r>
        <w:rPr>
          <w:rFonts w:hint="default" w:ascii="Calibri" w:hAnsi="Calibri" w:eastAsia="Times New Roman" w:cs="Calibri"/>
          <w:sz w:val="20"/>
          <w:szCs w:val="20"/>
        </w:rPr>
        <w:t xml:space="preserve"> acima deverão ser apresentados.</w:t>
      </w:r>
    </w:p>
    <w:p>
      <w:pPr>
        <w:numPr>
          <w:ilvl w:val="2"/>
          <w:numId w:val="1"/>
        </w:numPr>
        <w:spacing w:after="0"/>
        <w:jc w:val="both"/>
        <w:rPr>
          <w:rFonts w:hint="default" w:ascii="Calibri" w:hAnsi="Calibri" w:eastAsia="Times New Roman" w:cs="Calibri"/>
          <w:sz w:val="20"/>
          <w:szCs w:val="20"/>
        </w:rPr>
      </w:pPr>
      <w:r>
        <w:rPr>
          <w:rFonts w:hint="default" w:ascii="Calibri" w:hAnsi="Calibri" w:eastAsia="Times New Roman" w:cs="Calibri"/>
          <w:sz w:val="20"/>
          <w:szCs w:val="20"/>
        </w:rPr>
        <w:t>O contratante deverá analisar a documentação solicitada nos subitens acima no prazo de 30 (trinta) dias após o recebimento dos documentos, prorrogáveis por mais 30 (trinta) dias, justificadamente.</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rPr>
        <w:t xml:space="preserve"> </w:t>
      </w:r>
      <w:bookmarkStart w:id="5" w:name="_Ref73029099"/>
      <w:r>
        <w:rPr>
          <w:rFonts w:hint="default" w:ascii="Calibri" w:hAnsi="Calibri" w:eastAsia="Times New Roman" w:cs="Calibri"/>
          <w:sz w:val="20"/>
          <w:szCs w:val="20"/>
        </w:rPr>
        <w:t>O descumprimento total ou parcial das obrigações e responsabilidades assumidas pelo contratado, incluindo o descumprimento das obrigações trabalhistas, não recolhimento das contribuições sociais, previdenciárias</w:t>
      </w:r>
      <w:r>
        <w:rPr>
          <w:rFonts w:hint="default" w:ascii="Calibri" w:hAnsi="Calibri" w:eastAsia="Times New Roman" w:cs="Calibri"/>
          <w:sz w:val="20"/>
          <w:szCs w:val="20"/>
          <w:lang w:eastAsia="pt-BR"/>
        </w:rPr>
        <w:t xml:space="preserve"> ou para com o FGTS ou a não manutenção das condições de habilitação, ensejará a aplicação de sanções administrativas, previstas no Contrato e na legislação vigente, podendo culminar em rescisão contratual, por ato unilateral e escrito do contratante, com base nos arts. 50 e 121 da Lei n.º 14.133/2021.</w:t>
      </w:r>
      <w:bookmarkEnd w:id="5"/>
    </w:p>
    <w:p>
      <w:pPr>
        <w:numPr>
          <w:ilvl w:val="1"/>
          <w:numId w:val="26"/>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contratante poderá conceder prazo para que o contratado regularize suas obrigações trabalhistas ou suas condições de habilitação, sob pena de rescisão contratual, quando não identificar má-fé ou a incapacidade de correção.</w:t>
      </w:r>
    </w:p>
    <w:p>
      <w:pPr>
        <w:numPr>
          <w:ilvl w:val="1"/>
          <w:numId w:val="26"/>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Caso não seja apresentada a documentação comprobatória do cumprimento das obrigações trabalhistas, previdenciárias e para com o FGTS, o contratante comunicará o fato ao contratado e reterá o pagamento da fatura mensal, em valor proporcional ao inadimplemento, até que a situação seja regularizada. (art. 121, § 3º, inciso II, da Lei n.º 14.133/2021)</w:t>
      </w:r>
    </w:p>
    <w:p>
      <w:pPr>
        <w:numPr>
          <w:ilvl w:val="1"/>
          <w:numId w:val="26"/>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Não havendo quitação das obrigações por parte do contratado no prazo de quinze dias, o contratante poderá efetuar o pagamento das verbas trabalhistas diretamente aos empregados do contratado que tenham participado da execução dos serviços objeto do contrato, deduzindo o respectivo valor do pagamento devido ao contratado (art. 121, § 3º, inciso IV, da Lei n.º 14.133/2021)</w:t>
      </w:r>
    </w:p>
    <w:p>
      <w:pPr>
        <w:numPr>
          <w:ilvl w:val="1"/>
          <w:numId w:val="26"/>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O sindicato representante da categoria do trabalhador deverá ser notificado pelo contratante para acompanhar o pagamento das verbas mencionadas. </w:t>
      </w:r>
    </w:p>
    <w:p>
      <w:pPr>
        <w:numPr>
          <w:ilvl w:val="1"/>
          <w:numId w:val="26"/>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Tais pagamentos não configuram vínculo empregatício ou implicam a assunção de responsabilidade por quaisquer obrigações dele decorrentes entre o contratante e os empregados do contratado. </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Em caso de indício de irregularidade no recolhimento das contribuições previdenciárias, os fiscais ou gestores do contrato deverão oficiar à Receita Federal do Brasil (RFB). </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 Em caso de indício de irregularidade no recolhimento da contribuição para o FGTS, os fiscais ou gestores do contrato deverão oficiar ao Ministério do Trabalho e Previdência.</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contrato só será considerado integralmente cumprido após a comprovação, pelo contratado, do pagamento de todas as obrigações trabalhistas, sociais e previdenciárias e para com o FGTS referentes à mão de obra alocada em sua execução, inclusive quanto às verbas rescisórias.</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Além das disposições acima citadas, a fiscalização administrativa observará, ainda, as seguintes diretrizes: </w:t>
      </w:r>
    </w:p>
    <w:p>
      <w:pPr>
        <w:numPr>
          <w:ilvl w:val="2"/>
          <w:numId w:val="1"/>
        </w:numPr>
        <w:spacing w:before="120" w:after="120" w:line="276" w:lineRule="auto"/>
        <w:jc w:val="both"/>
        <w:rPr>
          <w:rFonts w:hint="default" w:ascii="Calibri" w:hAnsi="Calibri" w:eastAsia="Times New Roman" w:cs="Calibri"/>
          <w:iCs/>
          <w:sz w:val="20"/>
          <w:szCs w:val="20"/>
          <w:lang w:eastAsia="pt-BR"/>
        </w:rPr>
      </w:pPr>
      <w:r>
        <w:rPr>
          <w:rFonts w:hint="default" w:ascii="Calibri" w:hAnsi="Calibri" w:eastAsia="Times New Roman" w:cs="Calibri"/>
          <w:iCs/>
          <w:sz w:val="20"/>
          <w:szCs w:val="20"/>
          <w:lang w:eastAsia="pt-BR"/>
        </w:rPr>
        <w:t>Fiscalização inicial (quando a prestação de serviços for iniciada):</w:t>
      </w:r>
    </w:p>
    <w:p>
      <w:pPr>
        <w:numPr>
          <w:ilvl w:val="3"/>
          <w:numId w:val="27"/>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pPr>
        <w:numPr>
          <w:ilvl w:val="3"/>
          <w:numId w:val="27"/>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Todas as anotações contidas na CTPS dos empregados serão conferidas, a fim de que se possa verificar se as informações nelas inseridas coincidem com as informações fornecidas pelo </w:t>
      </w:r>
      <w:r>
        <w:rPr>
          <w:rFonts w:hint="default" w:ascii="Calibri" w:hAnsi="Calibri" w:eastAsia="Times New Roman" w:cs="Calibri"/>
          <w:iCs/>
          <w:sz w:val="20"/>
          <w:szCs w:val="20"/>
          <w:lang w:eastAsia="pt-BR"/>
        </w:rPr>
        <w:t>contratado</w:t>
      </w:r>
      <w:r>
        <w:rPr>
          <w:rFonts w:hint="default" w:ascii="Calibri" w:hAnsi="Calibri" w:eastAsia="Times New Roman" w:cs="Calibri"/>
          <w:iCs/>
          <w:sz w:val="20"/>
          <w:szCs w:val="20"/>
        </w:rPr>
        <w:t xml:space="preserve"> e pelo empregado;</w:t>
      </w:r>
    </w:p>
    <w:p>
      <w:pPr>
        <w:numPr>
          <w:ilvl w:val="3"/>
          <w:numId w:val="27"/>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O número de terceirizados por função deve coincidir com o previsto no contrato administrativo;</w:t>
      </w:r>
    </w:p>
    <w:p>
      <w:pPr>
        <w:numPr>
          <w:ilvl w:val="3"/>
          <w:numId w:val="27"/>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O salário não pode ser inferior ao previsto no contrato administrativo e na Convenção Coletiva de Trabalho da Categoria (CCT);</w:t>
      </w:r>
    </w:p>
    <w:p>
      <w:pPr>
        <w:numPr>
          <w:ilvl w:val="3"/>
          <w:numId w:val="27"/>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Serão consultadas eventuais obrigações adicionais constantes na CCT para o </w:t>
      </w:r>
      <w:r>
        <w:rPr>
          <w:rFonts w:hint="default" w:ascii="Calibri" w:hAnsi="Calibri" w:eastAsia="Times New Roman" w:cs="Calibri"/>
          <w:iCs/>
          <w:sz w:val="20"/>
          <w:szCs w:val="20"/>
          <w:lang w:eastAsia="pt-BR"/>
        </w:rPr>
        <w:t>contratado;</w:t>
      </w:r>
    </w:p>
    <w:p>
      <w:pPr>
        <w:numPr>
          <w:ilvl w:val="3"/>
          <w:numId w:val="27"/>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Será verificada a existência de condições insalubres ou de periculosidade no local de trabalho que obriguem a empresa a fornecer determinados Equipamentos de Proteção Individual (EPI).</w:t>
      </w:r>
    </w:p>
    <w:p>
      <w:pPr>
        <w:numPr>
          <w:ilvl w:val="2"/>
          <w:numId w:val="1"/>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Fiscalização mensal (a ser feita antes do pagamento da fatura):</w:t>
      </w:r>
    </w:p>
    <w:p>
      <w:pPr>
        <w:numPr>
          <w:ilvl w:val="3"/>
          <w:numId w:val="28"/>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Deve ser feita a retenção da contribuição previdenciária no valor de 11% (onze por cento) sobre o valor da fatura e dos impostos incidentes sobre a prestação do serviço;</w:t>
      </w:r>
    </w:p>
    <w:p>
      <w:pPr>
        <w:numPr>
          <w:ilvl w:val="3"/>
          <w:numId w:val="28"/>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Deve ser consultada a situação da empresa junto ao SICAF;</w:t>
      </w:r>
    </w:p>
    <w:p>
      <w:pPr>
        <w:numPr>
          <w:ilvl w:val="3"/>
          <w:numId w:val="28"/>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pPr>
        <w:pStyle w:val="39"/>
        <w:numPr>
          <w:ilvl w:val="3"/>
          <w:numId w:val="28"/>
        </w:numPr>
        <w:jc w:val="both"/>
        <w:rPr>
          <w:rFonts w:hint="default" w:ascii="Calibri" w:hAnsi="Calibri" w:eastAsia="Times New Roman" w:cs="Calibri"/>
          <w:iCs/>
          <w:sz w:val="20"/>
          <w:szCs w:val="20"/>
        </w:rPr>
      </w:pPr>
      <w:r>
        <w:rPr>
          <w:rFonts w:hint="default" w:ascii="Calibri" w:hAnsi="Calibri" w:eastAsia="Times New Roman" w:cs="Calibri"/>
          <w:iCs/>
          <w:sz w:val="20"/>
          <w:szCs w:val="20"/>
        </w:rPr>
        <w:t>Deverá ser exigida comprovação de que o contratado mantém a reserva de cargos prevista em lei para pessoa com deficiência, para reabilitado da Previdência Social ou para aprendiz, bem como as reservas de cargos previstas em outras normas específicas, mediante a indicação dos empregados que preencherem as referidas vagas, conforme disposto no art. 116 da Lei nº 14.13/2021.</w:t>
      </w:r>
    </w:p>
    <w:p>
      <w:pPr>
        <w:numPr>
          <w:ilvl w:val="2"/>
          <w:numId w:val="1"/>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Fiscalização diária:</w:t>
      </w:r>
    </w:p>
    <w:p>
      <w:pPr>
        <w:numPr>
          <w:ilvl w:val="3"/>
          <w:numId w:val="29"/>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Devem ser evitadas ordens diretas do </w:t>
      </w:r>
      <w:r>
        <w:rPr>
          <w:rFonts w:hint="default" w:ascii="Calibri" w:hAnsi="Calibri" w:eastAsia="Times New Roman" w:cs="Calibri"/>
          <w:iCs/>
          <w:sz w:val="20"/>
          <w:szCs w:val="20"/>
          <w:lang w:eastAsia="pt-BR"/>
        </w:rPr>
        <w:t>contratado</w:t>
      </w:r>
      <w:r>
        <w:rPr>
          <w:rFonts w:hint="default" w:ascii="Calibri" w:hAnsi="Calibri" w:eastAsia="Times New Roman" w:cs="Calibri"/>
          <w:iCs/>
          <w:sz w:val="20"/>
          <w:szCs w:val="20"/>
        </w:rPr>
        <w:t xml:space="preserve"> dirigidas aos terceirizados. As solicitações de serviços devem ser dirigidas ao preposto da empresa. Da mesma forma, eventuais reclamações ou cobranças relacionadas aos empregados terceirizados devem ser dirigidas ao preposto.</w:t>
      </w:r>
    </w:p>
    <w:p>
      <w:pPr>
        <w:numPr>
          <w:ilvl w:val="3"/>
          <w:numId w:val="29"/>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 xml:space="preserve">Toda e qualquer alteração na forma de prestação do serviço, como a negociação de folgas ou a compensação de jornada, deve ser evitada, uma vez que essa conduta é exclusiva do </w:t>
      </w:r>
      <w:r>
        <w:rPr>
          <w:rFonts w:hint="default" w:ascii="Calibri" w:hAnsi="Calibri" w:eastAsia="Times New Roman" w:cs="Calibri"/>
          <w:iCs/>
          <w:sz w:val="20"/>
          <w:szCs w:val="20"/>
          <w:lang w:eastAsia="pt-BR"/>
        </w:rPr>
        <w:t>contratado</w:t>
      </w:r>
      <w:r>
        <w:rPr>
          <w:rFonts w:hint="default" w:ascii="Calibri" w:hAnsi="Calibri" w:eastAsia="Times New Roman" w:cs="Calibri"/>
          <w:iCs/>
          <w:sz w:val="20"/>
          <w:szCs w:val="20"/>
        </w:rPr>
        <w:t>.</w:t>
      </w:r>
    </w:p>
    <w:p>
      <w:pPr>
        <w:numPr>
          <w:ilvl w:val="3"/>
          <w:numId w:val="29"/>
        </w:numPr>
        <w:spacing w:before="120" w:after="120" w:line="276" w:lineRule="auto"/>
        <w:jc w:val="both"/>
        <w:rPr>
          <w:rFonts w:hint="default" w:ascii="Calibri" w:hAnsi="Calibri" w:eastAsia="Times New Roman" w:cs="Calibri"/>
          <w:iCs/>
          <w:sz w:val="20"/>
          <w:szCs w:val="20"/>
        </w:rPr>
      </w:pPr>
      <w:r>
        <w:rPr>
          <w:rFonts w:hint="default" w:ascii="Calibri" w:hAnsi="Calibri" w:eastAsia="Times New Roman" w:cs="Calibri"/>
          <w:iCs/>
          <w:sz w:val="20"/>
          <w:szCs w:val="20"/>
        </w:rPr>
        <w:t>Devem ser conferidos, por amostragem, diariamente, os empregados terceirizados que estão prestando serviços e em quais funções, e se estão cumprindo a jornada de trabalho.</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Cabe à fiscalização do contrato verificar se o contratado observa a legislação relativa à concessão de férias e licenças aos empregados, respeita a estabilidade provisória de seus empregados e observa a data-base da categoria prevista na CCT, concedendo os reajustes dos empregados no dia e percentual previstos, verificando, ainda, a necessidade de se proceder à repactuação do contrato, inclusive quanto à necessidade de solicitação do contratado.</w:t>
      </w:r>
    </w:p>
    <w:p>
      <w:pPr>
        <w:numPr>
          <w:ilvl w:val="2"/>
          <w:numId w:val="1"/>
        </w:numPr>
        <w:spacing w:after="0"/>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contratante deverá solicitar, por amostragem, aos empregados, seus extratos da conta do FGTS e que verifiquem se as contribuições previdenciárias e do FGTS estão sendo recolhidas em seus nomes, de modo que, ao final de um ano, os extratos de todos os empregados tenham sido avaliados.</w:t>
      </w:r>
    </w:p>
    <w:p>
      <w:pPr>
        <w:spacing w:after="0"/>
        <w:ind w:left="1072"/>
        <w:jc w:val="both"/>
        <w:rPr>
          <w:rFonts w:hint="default" w:ascii="Calibri" w:hAnsi="Calibri" w:eastAsia="Times New Roman" w:cs="Calibri"/>
          <w:sz w:val="20"/>
          <w:szCs w:val="20"/>
          <w:lang w:eastAsia="pt-BR"/>
        </w:rPr>
      </w:pPr>
    </w:p>
    <w:p>
      <w:pPr>
        <w:numPr>
          <w:ilvl w:val="1"/>
          <w:numId w:val="1"/>
        </w:numPr>
        <w:spacing w:after="0" w:line="276" w:lineRule="auto"/>
        <w:jc w:val="both"/>
        <w:rPr>
          <w:rFonts w:hint="default" w:ascii="Calibri" w:hAnsi="Calibri" w:cs="Calibri"/>
          <w:sz w:val="20"/>
          <w:szCs w:val="20"/>
        </w:rPr>
      </w:pPr>
      <w:r>
        <w:rPr>
          <w:rFonts w:hint="default" w:ascii="Calibri" w:hAnsi="Calibri" w:cs="Calibri"/>
          <w:b/>
          <w:bCs/>
          <w:sz w:val="20"/>
          <w:szCs w:val="20"/>
        </w:rPr>
        <w:t>DA FISCALIZAÇÃO TÉCNICA</w:t>
      </w:r>
    </w:p>
    <w:p>
      <w:pPr>
        <w:pStyle w:val="39"/>
        <w:numPr>
          <w:ilvl w:val="2"/>
          <w:numId w:val="30"/>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fiscal técnico deverá apresentar ao preposto do contratado a avaliação da execução do objeto ou, se for o caso, a avaliação de desempenho e qualidade da prestação dos serviços realizada.</w:t>
      </w:r>
    </w:p>
    <w:p>
      <w:pPr>
        <w:pStyle w:val="39"/>
        <w:numPr>
          <w:ilvl w:val="2"/>
          <w:numId w:val="30"/>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Em hipótese alguma será admitido que o próprio contratado materialize a avaliação de desempenho e qualidade da prestação dos serviços realizada.</w:t>
      </w:r>
    </w:p>
    <w:p>
      <w:pPr>
        <w:pStyle w:val="39"/>
        <w:numPr>
          <w:ilvl w:val="2"/>
          <w:numId w:val="30"/>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O contratado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pPr>
        <w:pStyle w:val="39"/>
        <w:numPr>
          <w:ilvl w:val="2"/>
          <w:numId w:val="30"/>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ao contratado, de acordo com as regras previstas no Contrato. </w:t>
      </w:r>
    </w:p>
    <w:p>
      <w:pPr>
        <w:pStyle w:val="39"/>
        <w:numPr>
          <w:ilvl w:val="2"/>
          <w:numId w:val="30"/>
        </w:numPr>
        <w:spacing w:before="120" w:after="120" w:line="276" w:lineRule="auto"/>
        <w:jc w:val="both"/>
        <w:rPr>
          <w:rFonts w:hint="default" w:ascii="Calibri" w:hAnsi="Calibri" w:eastAsia="Times New Roman" w:cs="Calibri"/>
          <w:sz w:val="20"/>
          <w:szCs w:val="20"/>
          <w:lang w:eastAsia="pt-BR"/>
        </w:rPr>
      </w:pPr>
      <w:r>
        <w:rPr>
          <w:rFonts w:hint="default" w:ascii="Calibri" w:hAnsi="Calibri" w:eastAsia="Times New Roman" w:cs="Calibri"/>
          <w:sz w:val="20"/>
          <w:szCs w:val="20"/>
          <w:lang w:eastAsia="pt-BR"/>
        </w:rPr>
        <w:t>O fiscal técnico poderá realizar avaliação diária, semanal ou mensal, desde que o período escolhido seja suficiente para avaliar ou, se for o caso, aferir o desempenho e qualidade da prestação dos serviços.</w:t>
      </w:r>
    </w:p>
    <w:p>
      <w:pPr>
        <w:pStyle w:val="39"/>
        <w:numPr>
          <w:ilvl w:val="2"/>
          <w:numId w:val="30"/>
        </w:numPr>
        <w:spacing w:before="120" w:after="120" w:line="276" w:lineRule="auto"/>
        <w:jc w:val="both"/>
        <w:rPr>
          <w:rFonts w:hint="default" w:ascii="Calibri" w:hAnsi="Calibri" w:eastAsia="Times New Roman" w:cs="Calibri"/>
          <w:i/>
          <w:iCs/>
          <w:color w:val="FF0000"/>
          <w:sz w:val="20"/>
          <w:szCs w:val="20"/>
        </w:rPr>
      </w:pPr>
      <w:r>
        <w:rPr>
          <w:rFonts w:hint="default" w:ascii="Calibri" w:hAnsi="Calibri" w:eastAsia="Times New Roman" w:cs="Calibri"/>
          <w:i/>
          <w:iCs/>
          <w:color w:val="FF0000"/>
          <w:sz w:val="20"/>
          <w:szCs w:val="20"/>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art. 125 da Lei nº 14.133/2021. </w:t>
      </w:r>
    </w:p>
    <w:p>
      <w:pPr>
        <w:pStyle w:val="39"/>
        <w:numPr>
          <w:ilvl w:val="2"/>
          <w:numId w:val="30"/>
        </w:numPr>
        <w:spacing w:before="120" w:after="120" w:line="276" w:lineRule="auto"/>
        <w:jc w:val="both"/>
        <w:rPr>
          <w:rFonts w:hint="default" w:ascii="Calibri" w:hAnsi="Calibri" w:eastAsia="Times New Roman" w:cs="Calibri"/>
          <w:color w:val="FF0000"/>
          <w:sz w:val="20"/>
          <w:szCs w:val="20"/>
          <w:lang w:eastAsia="pt-BR"/>
        </w:rPr>
      </w:pPr>
      <w:r>
        <w:rPr>
          <w:rFonts w:hint="default" w:ascii="Calibri" w:hAnsi="Calibri" w:eastAsia="Times New Roman" w:cs="Calibri"/>
          <w:sz w:val="20"/>
          <w:szCs w:val="20"/>
          <w:lang w:eastAsia="pt-BR"/>
        </w:rPr>
        <w:t xml:space="preserve">A </w:t>
      </w:r>
      <w:r>
        <w:rPr>
          <w:rFonts w:hint="default" w:ascii="Calibri" w:hAnsi="Calibri" w:eastAsia="Times New Roman" w:cs="Calibri"/>
          <w:sz w:val="20"/>
          <w:szCs w:val="20"/>
        </w:rPr>
        <w:t>conformidade</w:t>
      </w:r>
      <w:r>
        <w:rPr>
          <w:rFonts w:hint="default" w:ascii="Calibri" w:hAnsi="Calibri" w:eastAsia="Times New Roman" w:cs="Calibri"/>
          <w:sz w:val="20"/>
          <w:szCs w:val="20"/>
          <w:lang w:eastAsia="pt-BR"/>
        </w:rPr>
        <w:t xml:space="preserve"> do material a ser utilizado na execução dos serviços deverá ser verificada juntamente com o documento do contratado que contenha sua relação detalhada, de acordo com o estabelecido neste Termo de Referência e na proposta, informando as respectivas quantidades e especificações técnicas, tais como: marca, qualidade e forma de uso. </w:t>
      </w:r>
    </w:p>
    <w:p>
      <w:pPr>
        <w:pStyle w:val="39"/>
        <w:numPr>
          <w:ilvl w:val="2"/>
          <w:numId w:val="30"/>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Além do disposto acima, a fiscalização contratual obedecerá às seguintes rotinas:</w:t>
      </w:r>
    </w:p>
    <w:p>
      <w:pPr>
        <w:numPr>
          <w:ilvl w:val="3"/>
          <w:numId w:val="1"/>
        </w:numPr>
        <w:spacing w:after="0" w:line="276" w:lineRule="auto"/>
        <w:jc w:val="both"/>
        <w:rPr>
          <w:rFonts w:hint="default" w:ascii="Calibri" w:hAnsi="Calibri" w:cs="Calibri"/>
          <w:i/>
          <w:iCs/>
          <w:color w:val="FF0000"/>
          <w:sz w:val="20"/>
          <w:szCs w:val="20"/>
        </w:rPr>
      </w:pPr>
      <w:r>
        <w:rPr>
          <w:rFonts w:hint="default" w:ascii="Calibri" w:hAnsi="Calibri" w:cs="Calibri"/>
          <w:i/>
          <w:iCs/>
          <w:color w:val="FF0000"/>
          <w:sz w:val="20"/>
          <w:szCs w:val="20"/>
        </w:rPr>
        <w:t>[...]</w:t>
      </w:r>
    </w:p>
    <w:p>
      <w:pPr>
        <w:numPr>
          <w:ilvl w:val="3"/>
          <w:numId w:val="1"/>
        </w:numPr>
        <w:spacing w:after="0" w:line="276" w:lineRule="auto"/>
        <w:jc w:val="both"/>
        <w:rPr>
          <w:rFonts w:hint="default" w:ascii="Calibri" w:hAnsi="Calibri" w:cs="Calibri"/>
          <w:i/>
          <w:iCs/>
          <w:color w:val="FF0000"/>
          <w:sz w:val="20"/>
          <w:szCs w:val="20"/>
        </w:rPr>
      </w:pP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zh-CN"/>
        </w:rPr>
      </w:pPr>
      <w:r>
        <w:rPr>
          <w:rFonts w:hint="default" w:ascii="Calibri" w:hAnsi="Calibri" w:eastAsia="Calibri" w:cs="Calibri"/>
          <w:b/>
          <w:bCs/>
          <w:i/>
          <w:iCs/>
          <w:color w:val="000000"/>
          <w:sz w:val="20"/>
          <w:szCs w:val="20"/>
          <w:lang w:eastAsia="zh-CN"/>
        </w:rPr>
        <w:t>Nota Explicativa:</w:t>
      </w:r>
      <w:r>
        <w:rPr>
          <w:rFonts w:hint="default" w:ascii="Calibri" w:hAnsi="Calibri" w:eastAsia="Calibri" w:cs="Calibri"/>
          <w:i/>
          <w:iCs/>
          <w:color w:val="000000"/>
          <w:sz w:val="20"/>
          <w:szCs w:val="20"/>
          <w:lang w:eastAsia="zh-CN"/>
        </w:rPr>
        <w:t xml:space="preserve"> Inserir o subitem acima, se for o caso, para inclusão de rotinas de fiscalização específicas para atender às peculiaridades do objeto contratado.</w:t>
      </w:r>
    </w:p>
    <w:p>
      <w:pPr>
        <w:spacing w:after="0" w:line="276" w:lineRule="auto"/>
        <w:ind w:left="432"/>
        <w:jc w:val="both"/>
        <w:rPr>
          <w:rFonts w:hint="default" w:ascii="Calibri" w:hAnsi="Calibri" w:eastAsia="MS Gothic" w:cs="Calibri"/>
          <w:b/>
          <w:color w:val="FF0000"/>
          <w:sz w:val="20"/>
          <w:szCs w:val="20"/>
          <w:lang w:eastAsia="pt-BR"/>
        </w:rPr>
      </w:pPr>
    </w:p>
    <w:p>
      <w:pPr>
        <w:numPr>
          <w:ilvl w:val="1"/>
          <w:numId w:val="1"/>
        </w:numPr>
        <w:spacing w:after="0" w:line="276" w:lineRule="auto"/>
        <w:jc w:val="both"/>
        <w:rPr>
          <w:rFonts w:hint="default" w:ascii="Calibri" w:hAnsi="Calibri" w:eastAsia="MS Gothic" w:cs="Calibri"/>
          <w:b/>
          <w:color w:val="FF0000"/>
          <w:sz w:val="20"/>
          <w:szCs w:val="20"/>
          <w:lang w:eastAsia="pt-BR"/>
        </w:rPr>
      </w:pPr>
      <w:r>
        <w:rPr>
          <w:rFonts w:hint="default" w:ascii="Calibri" w:hAnsi="Calibri" w:eastAsia="MS Gothic" w:cs="Calibri"/>
          <w:b/>
          <w:color w:val="FF0000"/>
          <w:sz w:val="20"/>
          <w:szCs w:val="20"/>
          <w:lang w:eastAsia="pt-BR"/>
        </w:rPr>
        <w:t>DA CONTA-DEPÓSITO VINCULADA</w:t>
      </w:r>
    </w:p>
    <w:p>
      <w:pPr>
        <w:pBdr>
          <w:top w:val="single" w:color="000080" w:sz="4" w:space="1"/>
          <w:left w:val="single" w:color="000080" w:sz="4" w:space="0"/>
          <w:bottom w:val="single" w:color="000080" w:sz="4" w:space="1"/>
          <w:right w:val="single" w:color="000080" w:sz="4" w:space="4"/>
        </w:pBdr>
        <w:shd w:val="clear" w:color="auto" w:fill="FFFFCC"/>
        <w:tabs>
          <w:tab w:val="left" w:pos="2694"/>
        </w:tabs>
        <w:suppressAutoHyphens/>
        <w:spacing w:before="120" w:after="0"/>
        <w:jc w:val="both"/>
        <w:rPr>
          <w:rFonts w:hint="default" w:ascii="Calibri" w:hAnsi="Calibri" w:eastAsia="Calibri" w:cs="Calibri"/>
          <w:i/>
          <w:iCs/>
          <w:color w:val="000000"/>
          <w:sz w:val="20"/>
          <w:szCs w:val="20"/>
          <w:lang w:eastAsia="zh-CN"/>
        </w:rPr>
      </w:pPr>
      <w:r>
        <w:rPr>
          <w:rFonts w:hint="default" w:ascii="Calibri" w:hAnsi="Calibri" w:eastAsia="Calibri" w:cs="Calibri"/>
          <w:b/>
          <w:bCs/>
          <w:i/>
          <w:iCs/>
          <w:color w:val="000000"/>
          <w:sz w:val="20"/>
          <w:szCs w:val="20"/>
          <w:lang w:eastAsia="zh-CN"/>
        </w:rPr>
        <w:t xml:space="preserve">Nota Explicativa: </w:t>
      </w:r>
      <w:r>
        <w:rPr>
          <w:rFonts w:hint="default" w:ascii="Calibri" w:hAnsi="Calibri" w:eastAsia="Calibri" w:cs="Calibri"/>
          <w:i/>
          <w:iCs/>
          <w:color w:val="000000"/>
          <w:sz w:val="20"/>
          <w:szCs w:val="20"/>
          <w:lang w:eastAsia="zh-CN"/>
        </w:rPr>
        <w:t>O art. 121, § 3º, incisos III e V, da Lei n.º 14.133/2021,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pPr>
        <w:pBdr>
          <w:top w:val="single" w:color="000080" w:sz="4" w:space="1"/>
          <w:left w:val="single" w:color="000080" w:sz="4" w:space="0"/>
          <w:bottom w:val="single" w:color="000080" w:sz="4" w:space="1"/>
          <w:right w:val="single" w:color="000080" w:sz="4" w:space="4"/>
        </w:pBdr>
        <w:shd w:val="clear" w:color="auto" w:fill="FFFFCC"/>
        <w:tabs>
          <w:tab w:val="left" w:pos="2694"/>
        </w:tabs>
        <w:suppressAutoHyphens/>
        <w:spacing w:before="120" w:after="0"/>
        <w:jc w:val="both"/>
        <w:rPr>
          <w:rFonts w:hint="default" w:ascii="Calibri" w:hAnsi="Calibri" w:eastAsia="Calibri" w:cs="Calibri"/>
          <w:i/>
          <w:iCs/>
          <w:color w:val="000000"/>
          <w:sz w:val="20"/>
          <w:szCs w:val="20"/>
          <w:lang w:eastAsia="zh-CN"/>
        </w:rPr>
      </w:pPr>
      <w:r>
        <w:rPr>
          <w:rFonts w:hint="default" w:ascii="Calibri" w:hAnsi="Calibri" w:eastAsia="Calibri" w:cs="Calibri"/>
          <w:i/>
          <w:iCs/>
          <w:color w:val="000000"/>
          <w:sz w:val="20"/>
          <w:szCs w:val="20"/>
          <w:lang w:eastAsia="zh-CN"/>
        </w:rPr>
        <w:t xml:space="preserve">Como já mencionado, a IN SEGES/ME nº 75/2021 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Pr>
          <w:rFonts w:hint="default" w:ascii="Calibri" w:hAnsi="Calibri" w:eastAsia="Calibri" w:cs="Calibri"/>
          <w:b/>
          <w:bCs/>
          <w:i/>
          <w:iCs/>
          <w:color w:val="000000"/>
          <w:sz w:val="20"/>
          <w:szCs w:val="20"/>
          <w:lang w:eastAsia="zh-CN"/>
        </w:rPr>
        <w:t>contratual</w:t>
      </w:r>
      <w:r>
        <w:rPr>
          <w:rFonts w:hint="default" w:ascii="Calibri" w:hAnsi="Calibri" w:eastAsia="Calibri" w:cs="Calibri"/>
          <w:i/>
          <w:iCs/>
          <w:color w:val="000000"/>
          <w:sz w:val="20"/>
          <w:szCs w:val="20"/>
          <w:lang w:eastAsia="zh-CN"/>
        </w:rPr>
        <w:t xml:space="preserve"> as ações que têm por objetivo “verificar a regularidade das obrigações previdenciárias, fiscais e trabalhistas”, bem como a “instrução processual e o encaminhamento da documentação pertinente” para “pagamento”. </w:t>
      </w:r>
    </w:p>
    <w:p>
      <w:pPr>
        <w:pBdr>
          <w:top w:val="single" w:color="000080" w:sz="4" w:space="1"/>
          <w:left w:val="single" w:color="000080" w:sz="4" w:space="0"/>
          <w:bottom w:val="single" w:color="000080" w:sz="4" w:space="1"/>
          <w:right w:val="single" w:color="000080" w:sz="4" w:space="4"/>
        </w:pBdr>
        <w:shd w:val="clear" w:color="auto" w:fill="FFFFCC"/>
        <w:tabs>
          <w:tab w:val="left" w:pos="2694"/>
        </w:tabs>
        <w:suppressAutoHyphens/>
        <w:spacing w:before="120" w:after="0"/>
        <w:jc w:val="both"/>
        <w:rPr>
          <w:rFonts w:hint="default" w:ascii="Calibri" w:hAnsi="Calibri" w:eastAsia="Calibri" w:cs="Calibri"/>
          <w:i/>
          <w:iCs/>
          <w:color w:val="000000"/>
          <w:sz w:val="20"/>
          <w:szCs w:val="20"/>
          <w:lang w:eastAsia="zh-CN"/>
        </w:rPr>
      </w:pPr>
      <w:r>
        <w:rPr>
          <w:rFonts w:hint="default" w:ascii="Calibri" w:hAnsi="Calibri" w:eastAsia="Calibri" w:cs="Calibri"/>
          <w:i/>
          <w:iCs/>
          <w:color w:val="000000"/>
          <w:sz w:val="20"/>
          <w:szCs w:val="20"/>
          <w:lang w:eastAsia="zh-CN"/>
        </w:rPr>
        <w:t xml:space="preserve">Com base na previsão legal e nas disposições normativas acima, entende-se que as regras para utilização da Conta-Depósito Vinculada - bloqueada para movimentação e do Pagamento pelo Fato Gerador, previstas na IN SEGES/MP n.º 05/2017, incluem-se no escopo da IN SEGES/ME n.º 75/2021, já que constituem mecanismos voltados a garantir a regularidade das obrigações trabalhistas e para com o FGTS, além de inerentes à instrução processual para fins de pagamento ao contratado. </w:t>
      </w:r>
    </w:p>
    <w:p>
      <w:pPr>
        <w:spacing w:after="0" w:line="240" w:lineRule="auto"/>
        <w:rPr>
          <w:rFonts w:hint="default" w:ascii="Calibri" w:hAnsi="Calibri" w:eastAsia="Times New Roman" w:cs="Calibri"/>
          <w:color w:val="FF0000"/>
          <w:sz w:val="20"/>
          <w:szCs w:val="20"/>
          <w:lang w:eastAsia="pt-BR"/>
        </w:rPr>
      </w:pPr>
    </w:p>
    <w:p>
      <w:pPr>
        <w:pStyle w:val="39"/>
        <w:numPr>
          <w:ilvl w:val="2"/>
          <w:numId w:val="31"/>
        </w:numPr>
        <w:spacing w:before="120" w:after="120" w:line="276" w:lineRule="auto"/>
        <w:jc w:val="both"/>
        <w:rPr>
          <w:rFonts w:hint="default" w:ascii="Calibri" w:hAnsi="Calibri" w:eastAsia="Times New Roman" w:cs="Calibri"/>
          <w:i/>
          <w:iCs/>
          <w:color w:val="FF0000"/>
          <w:sz w:val="20"/>
          <w:szCs w:val="20"/>
          <w:shd w:val="clear" w:color="auto" w:fill="FFFFFF"/>
          <w:lang w:eastAsia="pt-BR"/>
        </w:rPr>
      </w:pPr>
      <w:r>
        <w:rPr>
          <w:rFonts w:hint="default" w:ascii="Calibri" w:hAnsi="Calibri" w:eastAsia="Times New Roman" w:cs="Calibri"/>
          <w:i/>
          <w:iCs/>
          <w:color w:val="FF0000"/>
          <w:sz w:val="20"/>
          <w:szCs w:val="20"/>
          <w:shd w:val="clear" w:color="auto" w:fill="FFFFFF"/>
          <w:lang w:eastAsia="pt-BR"/>
        </w:rPr>
        <w:t>Para tratamento do risco de descumprimento das obrigações trabalhistas, previdenciárias e com FGTS por parte do contratado, as regras acerca da Conta-Depósito Vinculada a que se refere o Anexo XII da IN SEGES/MP n. 05/2017, aplicável por força do art. 1º da IN SEGES/ME n.º 75/2021, são as estabelecidas neste Termo de Referência.</w:t>
      </w:r>
    </w:p>
    <w:p>
      <w:pPr>
        <w:pStyle w:val="39"/>
        <w:numPr>
          <w:ilvl w:val="2"/>
          <w:numId w:val="31"/>
        </w:numPr>
        <w:spacing w:before="120" w:after="120" w:line="276" w:lineRule="auto"/>
        <w:jc w:val="both"/>
        <w:rPr>
          <w:rFonts w:hint="default" w:ascii="Calibri" w:hAnsi="Calibri" w:eastAsia="Times New Roman" w:cs="Calibri"/>
          <w:i/>
          <w:iCs/>
          <w:color w:val="FF0000"/>
          <w:sz w:val="20"/>
          <w:szCs w:val="20"/>
          <w:shd w:val="clear" w:color="auto" w:fill="FFFFFF"/>
          <w:lang w:eastAsia="pt-BR"/>
        </w:rPr>
      </w:pPr>
      <w:r>
        <w:rPr>
          <w:rFonts w:hint="default" w:ascii="Calibri" w:hAnsi="Calibri" w:eastAsia="Times New Roman" w:cs="Calibri"/>
          <w:i/>
          <w:iCs/>
          <w:color w:val="FF0000"/>
          <w:sz w:val="20"/>
          <w:szCs w:val="20"/>
          <w:lang w:eastAsia="pt-BR"/>
        </w:rPr>
        <w:t xml:space="preserve">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 xml:space="preserve">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 nas condições estabelecidas no item 1.5 do anexo VII-B da </w:t>
      </w:r>
      <w:r>
        <w:rPr>
          <w:rFonts w:hint="default" w:ascii="Calibri" w:hAnsi="Calibri" w:eastAsia="Times New Roman" w:cs="Calibri"/>
          <w:i/>
          <w:iCs/>
          <w:color w:val="FF0000"/>
          <w:sz w:val="20"/>
          <w:szCs w:val="20"/>
          <w:shd w:val="clear" w:color="auto" w:fill="FFFFFF"/>
          <w:lang w:eastAsia="pt-BR"/>
        </w:rPr>
        <w:t>IN SEGES/MP n. 05/2017.</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pPr>
        <w:numPr>
          <w:ilvl w:val="2"/>
          <w:numId w:val="32"/>
        </w:numPr>
        <w:spacing w:before="120" w:after="120" w:line="276" w:lineRule="auto"/>
        <w:ind w:left="1560" w:firstLine="0"/>
        <w:contextualSpacing/>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13º (décimo terceiro) salário;</w:t>
      </w:r>
    </w:p>
    <w:p>
      <w:pPr>
        <w:numPr>
          <w:ilvl w:val="2"/>
          <w:numId w:val="32"/>
        </w:numPr>
        <w:spacing w:before="120" w:after="120" w:line="276" w:lineRule="auto"/>
        <w:ind w:left="1560" w:firstLine="0"/>
        <w:contextualSpacing/>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Férias e um terço constitucional de férias;</w:t>
      </w:r>
    </w:p>
    <w:p>
      <w:pPr>
        <w:numPr>
          <w:ilvl w:val="2"/>
          <w:numId w:val="32"/>
        </w:numPr>
        <w:spacing w:before="120" w:after="120" w:line="276" w:lineRule="auto"/>
        <w:ind w:left="1560" w:firstLine="0"/>
        <w:contextualSpacing/>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Multa sobre o FGTS e contribuição social para as rescisões sem justa causa; e</w:t>
      </w:r>
    </w:p>
    <w:p>
      <w:pPr>
        <w:numPr>
          <w:ilvl w:val="2"/>
          <w:numId w:val="32"/>
        </w:numPr>
        <w:spacing w:before="120" w:after="120" w:line="276" w:lineRule="auto"/>
        <w:ind w:left="1560" w:firstLine="0"/>
        <w:contextualSpacing/>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Encargos sobre férias e 13º (décimo terceiro) salário.</w:t>
      </w:r>
    </w:p>
    <w:p>
      <w:pPr>
        <w:numPr>
          <w:ilvl w:val="2"/>
          <w:numId w:val="32"/>
        </w:numPr>
        <w:spacing w:before="120" w:after="120" w:line="276" w:lineRule="auto"/>
        <w:ind w:left="1560" w:firstLine="0"/>
        <w:contextualSpacing/>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Os percentuais de provisionamento e a forma de cálculo serão aqueles indicados no Anexo XII da IN SEGES/MP n. 5/2017.</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Os valores referentes às provisões mencionadas neste edital Termo de Referência que sejam retidos por meio da conta-depósito deixarão de compor o valor mensal a ser pago diretamente à empresa que vier a prestar os serviços.</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Em caso de cobrança de tarifa ou encargos bancários para operacionalização da conta-depósito, os recursos atinentes a essas despesas serão debitados dos valores depositados.</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pPr>
        <w:pStyle w:val="39"/>
        <w:numPr>
          <w:ilvl w:val="3"/>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pPr>
        <w:pStyle w:val="39"/>
        <w:numPr>
          <w:ilvl w:val="3"/>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A autorização de movimentação deverá especificar que se destina exclusivamente para o pagamento dos encargos trabalhistas ou de eventual indenização trabalhista aos trabalhadores favorecidos.</w:t>
      </w:r>
    </w:p>
    <w:p>
      <w:pPr>
        <w:pStyle w:val="39"/>
        <w:numPr>
          <w:ilvl w:val="3"/>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O contratado deverá apresentar ao contratante, no prazo máximo de 3 (três) dias úteis, contados da movimentação, o comprovante das transferências bancárias realizadas para a quitação das obrigações trabalhistas.</w:t>
      </w:r>
    </w:p>
    <w:p>
      <w:pPr>
        <w:pStyle w:val="39"/>
        <w:numPr>
          <w:ilvl w:val="2"/>
          <w:numId w:val="31"/>
        </w:numPr>
        <w:spacing w:before="120" w:after="120" w:line="276" w:lineRule="auto"/>
        <w:jc w:val="both"/>
        <w:rPr>
          <w:rFonts w:hint="default" w:ascii="Calibri" w:hAnsi="Calibri" w:eastAsia="Times New Roman" w:cs="Calibri"/>
          <w:i/>
          <w:iCs/>
          <w:color w:val="FF0000"/>
          <w:sz w:val="20"/>
          <w:szCs w:val="20"/>
          <w:lang w:eastAsia="pt-BR"/>
        </w:rPr>
      </w:pPr>
      <w:r>
        <w:rPr>
          <w:rFonts w:hint="default" w:ascii="Calibri" w:hAnsi="Calibri" w:eastAsia="Times New Roman" w:cs="Calibri"/>
          <w:i/>
          <w:iCs/>
          <w:color w:val="FF0000"/>
          <w:sz w:val="20"/>
          <w:szCs w:val="20"/>
          <w:lang w:eastAsia="pt-BR"/>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do Anexo XII da IN SEGES/MP n. 05/2017.</w:t>
      </w:r>
    </w:p>
    <w:p>
      <w:pPr>
        <w:spacing w:before="120" w:after="120" w:line="276" w:lineRule="auto"/>
        <w:ind w:left="720"/>
        <w:contextualSpacing/>
        <w:jc w:val="both"/>
        <w:rPr>
          <w:rFonts w:hint="default" w:ascii="Calibri" w:hAnsi="Calibri" w:eastAsia="Times New Roman" w:cs="Calibri"/>
          <w:b/>
          <w:i/>
          <w:iCs/>
          <w:color w:val="FF0000"/>
          <w:sz w:val="20"/>
          <w:szCs w:val="20"/>
          <w:u w:val="single"/>
          <w:lang w:eastAsia="pt-BR"/>
        </w:rPr>
      </w:pPr>
      <w:r>
        <w:rPr>
          <w:rFonts w:hint="default" w:ascii="Calibri" w:hAnsi="Calibri" w:eastAsia="Times New Roman" w:cs="Calibri"/>
          <w:b/>
          <w:i/>
          <w:iCs/>
          <w:color w:val="FF0000"/>
          <w:sz w:val="20"/>
          <w:szCs w:val="20"/>
          <w:u w:val="single"/>
          <w:lang w:eastAsia="pt-BR"/>
        </w:rPr>
        <w:t>OU</w:t>
      </w:r>
    </w:p>
    <w:p>
      <w:pPr>
        <w:spacing w:before="120" w:after="120" w:line="276" w:lineRule="auto"/>
        <w:ind w:left="720"/>
        <w:contextualSpacing/>
        <w:jc w:val="both"/>
        <w:rPr>
          <w:rFonts w:hint="default" w:ascii="Calibri" w:hAnsi="Calibri" w:eastAsia="Times New Roman" w:cs="Calibri"/>
          <w:b/>
          <w:color w:val="FF0000"/>
          <w:sz w:val="20"/>
          <w:szCs w:val="20"/>
          <w:lang w:eastAsia="pt-BR"/>
        </w:rPr>
      </w:pPr>
    </w:p>
    <w:p>
      <w:pPr>
        <w:pStyle w:val="39"/>
        <w:numPr>
          <w:ilvl w:val="1"/>
          <w:numId w:val="30"/>
        </w:numPr>
        <w:spacing w:before="120" w:after="120" w:line="276" w:lineRule="auto"/>
        <w:jc w:val="both"/>
        <w:rPr>
          <w:rFonts w:hint="default" w:ascii="Calibri" w:hAnsi="Calibri" w:eastAsia="Times New Roman" w:cs="Calibri"/>
          <w:b/>
          <w:color w:val="FF0000"/>
          <w:sz w:val="20"/>
          <w:szCs w:val="20"/>
          <w:lang w:eastAsia="pt-BR"/>
        </w:rPr>
      </w:pPr>
      <w:r>
        <w:rPr>
          <w:rFonts w:hint="default" w:ascii="Calibri" w:hAnsi="Calibri" w:eastAsia="Times New Roman" w:cs="Calibri"/>
          <w:b/>
          <w:color w:val="FF0000"/>
          <w:sz w:val="20"/>
          <w:szCs w:val="20"/>
          <w:lang w:eastAsia="pt-BR"/>
        </w:rPr>
        <w:t xml:space="preserve">DO PAGAMENTO PELO FATO GERADOR </w:t>
      </w:r>
    </w:p>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eastAsia="Times New Roman" w:cs="Calibri"/>
          <w:i/>
          <w:iCs/>
          <w:sz w:val="20"/>
          <w:szCs w:val="20"/>
          <w:lang w:eastAsia="pt-BR"/>
        </w:rPr>
      </w:pPr>
      <w:r>
        <w:rPr>
          <w:rFonts w:hint="default" w:ascii="Calibri" w:hAnsi="Calibri" w:eastAsia="Times New Roman" w:cs="Calibri"/>
          <w:b/>
          <w:i/>
          <w:iCs/>
          <w:sz w:val="20"/>
          <w:szCs w:val="20"/>
          <w:lang w:eastAsia="pt-BR"/>
        </w:rPr>
        <w:t>Nota Explicativa:</w:t>
      </w:r>
      <w:r>
        <w:rPr>
          <w:rFonts w:hint="default" w:ascii="Calibri" w:hAnsi="Calibri" w:eastAsia="Times New Roman" w:cs="Calibri"/>
          <w:i/>
          <w:iCs/>
          <w:sz w:val="20"/>
          <w:szCs w:val="20"/>
          <w:lang w:eastAsia="pt-BR"/>
        </w:rPr>
        <w:t xml:space="preserve"> O pagamento pelo fato gerador está previsto no artigo 18, inciso II, da IN SEGES/MP n. 05/2017, aplicável, no caso, por força do art. 1º da IN SEGES/ME n.º 75/2021. Eis a definição constante do Anexo I da IN SEGES/MP n. 05/2017:</w:t>
      </w:r>
    </w:p>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eastAsia="Times New Roman" w:cs="Calibri"/>
          <w:i/>
          <w:iCs/>
          <w:sz w:val="20"/>
          <w:szCs w:val="20"/>
          <w:lang w:eastAsia="pt-BR"/>
        </w:rPr>
      </w:pPr>
      <w:r>
        <w:rPr>
          <w:rFonts w:hint="default" w:ascii="Calibri" w:hAnsi="Calibri" w:eastAsia="Times New Roman" w:cs="Calibri"/>
          <w:i/>
          <w:iCs/>
          <w:sz w:val="20"/>
          <w:szCs w:val="20"/>
          <w:lang w:eastAsia="pt-BR"/>
        </w:rP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eastAsia="Times New Roman" w:cs="Calibri"/>
          <w:i/>
          <w:sz w:val="20"/>
          <w:szCs w:val="20"/>
          <w:shd w:val="clear" w:color="auto" w:fill="FFFFFF"/>
          <w:lang w:eastAsia="pt-BR"/>
        </w:rPr>
      </w:pPr>
      <w:r>
        <w:rPr>
          <w:rFonts w:hint="default" w:ascii="Calibri" w:hAnsi="Calibri" w:eastAsia="Times New Roman" w:cs="Calibri"/>
          <w:i/>
          <w:sz w:val="20"/>
          <w:szCs w:val="20"/>
          <w:lang w:eastAsia="pt-BR"/>
        </w:rPr>
        <w:t xml:space="preserve">Vale </w:t>
      </w:r>
      <w:r>
        <w:rPr>
          <w:rFonts w:hint="default" w:ascii="Calibri" w:hAnsi="Calibri" w:eastAsia="Times New Roman" w:cs="Calibri"/>
          <w:i/>
          <w:iCs/>
          <w:sz w:val="20"/>
          <w:szCs w:val="20"/>
          <w:lang w:eastAsia="pt-BR"/>
        </w:rPr>
        <w:t xml:space="preserve">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r>
        <w:rPr>
          <w:rFonts w:hint="default" w:ascii="Calibri" w:hAnsi="Calibri" w:cs="Calibri"/>
        </w:rPr>
        <w:fldChar w:fldCharType="begin"/>
      </w:r>
      <w:r>
        <w:rPr>
          <w:rFonts w:hint="default" w:ascii="Calibri" w:hAnsi="Calibri" w:cs="Calibri"/>
        </w:rPr>
        <w:instrText xml:space="preserve"> HYPERLINK "https://www.comprasgovernamentais.gov.br/images/conteudo/ArquivosCGNOR/fato_gerador.pdf" </w:instrText>
      </w:r>
      <w:r>
        <w:rPr>
          <w:rFonts w:hint="default" w:ascii="Calibri" w:hAnsi="Calibri" w:cs="Calibri"/>
        </w:rPr>
        <w:fldChar w:fldCharType="separate"/>
      </w:r>
      <w:r>
        <w:rPr>
          <w:rFonts w:hint="default" w:ascii="Calibri" w:hAnsi="Calibri" w:eastAsia="Times New Roman" w:cs="Calibri"/>
          <w:i/>
          <w:iCs/>
          <w:sz w:val="20"/>
          <w:szCs w:val="20"/>
          <w:lang w:eastAsia="pt-BR"/>
        </w:rPr>
        <w:t>https://www.comprasgovernamentais.gov.br/images/conteudo/ArquivosCGNOR/fato_gerador.pdf</w:t>
      </w:r>
      <w:r>
        <w:rPr>
          <w:rFonts w:hint="default" w:ascii="Calibri" w:hAnsi="Calibri" w:eastAsia="Times New Roman" w:cs="Calibri"/>
          <w:i/>
          <w:iCs/>
          <w:sz w:val="20"/>
          <w:szCs w:val="20"/>
          <w:lang w:eastAsia="pt-BR"/>
        </w:rPr>
        <w:fldChar w:fldCharType="end"/>
      </w:r>
      <w:r>
        <w:rPr>
          <w:rFonts w:hint="default" w:ascii="Calibri" w:hAnsi="Calibri" w:eastAsia="Times New Roman" w:cs="Calibri"/>
          <w:i/>
          <w:iCs/>
          <w:sz w:val="20"/>
          <w:szCs w:val="20"/>
          <w:lang w:eastAsia="pt-BR"/>
        </w:rPr>
        <w:t>)</w:t>
      </w:r>
      <w:r>
        <w:rPr>
          <w:rFonts w:hint="default" w:ascii="Calibri" w:hAnsi="Calibri" w:eastAsia="Times New Roman" w:cs="Calibri"/>
          <w:i/>
          <w:sz w:val="20"/>
          <w:szCs w:val="20"/>
          <w:shd w:val="clear" w:color="auto" w:fill="FFFFFF"/>
          <w:lang w:eastAsia="pt-BR"/>
        </w:rPr>
        <w:t xml:space="preserve"> </w:t>
      </w:r>
    </w:p>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eastAsia="Times New Roman" w:cs="Calibri"/>
          <w:i/>
          <w:color w:val="000000"/>
          <w:sz w:val="20"/>
          <w:szCs w:val="20"/>
          <w:lang w:eastAsia="pt-BR"/>
        </w:rPr>
      </w:pPr>
      <w:r>
        <w:rPr>
          <w:rFonts w:hint="default" w:ascii="Calibri" w:hAnsi="Calibri" w:eastAsia="Times New Roman" w:cs="Calibri"/>
          <w:i/>
          <w:color w:val="000000"/>
          <w:sz w:val="20"/>
          <w:szCs w:val="20"/>
          <w:lang w:eastAsia="pt-BR"/>
        </w:rP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pPr>
        <w:pBdr>
          <w:top w:val="single" w:color="auto" w:sz="4" w:space="1"/>
          <w:left w:val="single" w:color="auto" w:sz="4" w:space="4"/>
          <w:bottom w:val="single" w:color="auto" w:sz="4" w:space="1"/>
          <w:right w:val="single" w:color="auto" w:sz="4" w:space="4"/>
        </w:pBdr>
        <w:shd w:val="clear" w:color="auto" w:fill="FFFFCC"/>
        <w:spacing w:before="120" w:after="120" w:line="276" w:lineRule="auto"/>
        <w:ind w:left="425"/>
        <w:jc w:val="both"/>
        <w:rPr>
          <w:rFonts w:hint="default" w:ascii="Calibri" w:hAnsi="Calibri" w:eastAsia="Times New Roman" w:cs="Calibri"/>
          <w:i/>
          <w:color w:val="000000"/>
          <w:sz w:val="20"/>
          <w:szCs w:val="20"/>
          <w:lang w:eastAsia="pt-BR"/>
        </w:rPr>
      </w:pPr>
      <w:r>
        <w:rPr>
          <w:rFonts w:hint="default" w:ascii="Calibri" w:hAnsi="Calibri" w:eastAsia="Times New Roman" w:cs="Calibri"/>
          <w:i/>
          <w:color w:val="000000"/>
          <w:sz w:val="20"/>
          <w:szCs w:val="20"/>
          <w:lang w:eastAsia="pt-BR"/>
        </w:rPr>
        <w:t>Dessa forma, e considerando que se trata de mecanismos, em princípio, excludentes entre si, incumbe à Administração escolher, alternativamente, entre a utilização da Conta-Vinculada ou do Pagamento pelo Fato Gerador.</w:t>
      </w:r>
    </w:p>
    <w:p>
      <w:pPr>
        <w:pStyle w:val="39"/>
        <w:numPr>
          <w:ilvl w:val="2"/>
          <w:numId w:val="30"/>
        </w:numPr>
        <w:spacing w:before="120" w:after="120" w:line="276" w:lineRule="auto"/>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No caso do Pagamento pelo Fato Gerador, o contratante adotará os seguintes procedimentos:</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a) Serão objeto de pagamento mensal ao contratado o somatório dos seguintes módulos que compõem a planilha de custos e formação de preços, disposta no Anexo VII-D da IN SEGES/MP n.º 05/2017: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1. Módulo 1: Composição da Remuneração;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2. Submódulo 2.2: Encargos Previdenciários e FGTS;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3. Submódulo 2.3: Benefícios Mensais e Diários;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4. Submódulo 4.2: Substituto na Intrajornada;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5. Módulo 5: Insumos; e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6. Módulo 6: Custos Indiretos, Tributos e Lucro (CITL), que será calculado tendo por base as alíneas acima.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b) 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 </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c) As verbas discriminadas na forma da alínea “b” acima somente serão liberadas nas seguintes condições:</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c.1. pelo valor correspondente ao 13º (décimo terceiro) salário dos empregados vinculados ao contrato, quando devido;</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c.2. pelo valor correspondente às férias e a 1/3 (um terço) de férias previsto na Constituição, quando do gozo de férias pelos empregados vinculados ao contrato;</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c.3. pelo valor correspondente ao 13º (décimo terceiro) salário proporcional, férias proporcionais e à indenização compensatória porventura devida sobre o FGTS, quando da dispensa de empregado vinculado ao contrato;</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c.4. pelos valores correspondentes às ausências legais efetivamente ocorridas dos empregados vinculados ao contrato; e</w:t>
      </w:r>
    </w:p>
    <w:p>
      <w:pPr>
        <w:spacing w:before="120" w:after="120" w:line="276" w:lineRule="auto"/>
        <w:ind w:left="851"/>
        <w:contextualSpacing/>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 xml:space="preserve">c.5. outras de evento futuro e incerto, após efetivamente ocorridas, pelos seus valores correspondentes. </w:t>
      </w:r>
    </w:p>
    <w:p>
      <w:pPr>
        <w:pStyle w:val="39"/>
        <w:numPr>
          <w:ilvl w:val="2"/>
          <w:numId w:val="30"/>
        </w:numPr>
        <w:spacing w:before="120" w:after="120" w:line="276" w:lineRule="auto"/>
        <w:jc w:val="both"/>
        <w:rPr>
          <w:rFonts w:hint="default" w:ascii="Calibri" w:hAnsi="Calibri" w:eastAsia="Times New Roman" w:cs="Calibri"/>
          <w:i/>
          <w:color w:val="FF0000"/>
          <w:sz w:val="20"/>
          <w:szCs w:val="20"/>
          <w:lang w:eastAsia="pt-BR"/>
        </w:rPr>
      </w:pPr>
      <w:r>
        <w:rPr>
          <w:rFonts w:hint="default" w:ascii="Calibri" w:hAnsi="Calibri" w:eastAsia="Times New Roman" w:cs="Calibri"/>
          <w:i/>
          <w:color w:val="FF0000"/>
          <w:sz w:val="20"/>
          <w:szCs w:val="20"/>
          <w:lang w:eastAsia="pt-BR"/>
        </w:rPr>
        <w:t>A não ocorrência dos fatos geradores discriminados na alínea “b” acima não gera direito adquirido para o contratado das referidas verbas ao final da vigência do Contrato, devendo o pagamento seguir as regras previstas no Contrato.</w:t>
      </w:r>
    </w:p>
    <w:p>
      <w:pPr>
        <w:spacing w:after="0" w:line="276" w:lineRule="auto"/>
        <w:jc w:val="both"/>
        <w:rPr>
          <w:rFonts w:hint="default" w:ascii="Calibri" w:hAnsi="Calibri" w:cs="Calibri"/>
          <w:b/>
          <w:bCs/>
          <w:sz w:val="20"/>
          <w:szCs w:val="20"/>
        </w:rPr>
      </w:pPr>
      <w:bookmarkStart w:id="6" w:name="art115§5"/>
      <w:bookmarkEnd w:id="6"/>
      <w:bookmarkStart w:id="7" w:name="art121"/>
      <w:bookmarkEnd w:id="7"/>
      <w:bookmarkStart w:id="8" w:name="art117§2"/>
      <w:bookmarkEnd w:id="8"/>
      <w:bookmarkStart w:id="9" w:name="art121§1"/>
      <w:bookmarkEnd w:id="9"/>
      <w:bookmarkStart w:id="10" w:name="art120"/>
      <w:bookmarkEnd w:id="10"/>
      <w:bookmarkStart w:id="11" w:name="art115§1"/>
      <w:bookmarkEnd w:id="11"/>
      <w:bookmarkStart w:id="12" w:name="art122"/>
      <w:bookmarkEnd w:id="12"/>
      <w:bookmarkStart w:id="13" w:name="art122§1"/>
      <w:bookmarkEnd w:id="13"/>
      <w:bookmarkStart w:id="14" w:name="art116"/>
      <w:bookmarkEnd w:id="14"/>
      <w:bookmarkStart w:id="15" w:name="art117§1"/>
      <w:bookmarkEnd w:id="15"/>
      <w:bookmarkStart w:id="16" w:name="art123"/>
      <w:bookmarkEnd w:id="16"/>
      <w:bookmarkStart w:id="17" w:name="art122§3"/>
      <w:bookmarkEnd w:id="17"/>
      <w:bookmarkStart w:id="18" w:name="art122§2"/>
      <w:bookmarkEnd w:id="18"/>
    </w:p>
    <w:p>
      <w:pPr>
        <w:numPr>
          <w:ilvl w:val="1"/>
          <w:numId w:val="1"/>
        </w:numPr>
        <w:spacing w:after="0" w:line="276" w:lineRule="auto"/>
        <w:ind w:left="0" w:firstLine="0"/>
        <w:jc w:val="both"/>
        <w:rPr>
          <w:rFonts w:hint="default" w:ascii="Calibri" w:hAnsi="Calibri" w:cs="Calibri"/>
          <w:b/>
          <w:bCs/>
          <w:sz w:val="20"/>
          <w:szCs w:val="20"/>
        </w:rPr>
      </w:pPr>
      <w:r>
        <w:rPr>
          <w:rFonts w:hint="default" w:ascii="Calibri" w:hAnsi="Calibri" w:cs="Calibri"/>
          <w:b/>
          <w:bCs/>
          <w:sz w:val="20"/>
          <w:szCs w:val="20"/>
        </w:rPr>
        <w:t>DOS CRITÉRIOS DE AFERIÇÃO E MEDIÇÃO PARA FATURAMENTO</w:t>
      </w:r>
    </w:p>
    <w:p>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rPr>
          <w:rFonts w:hint="default" w:ascii="Calibri" w:hAnsi="Calibri" w:eastAsia="Calibri" w:cs="Calibri"/>
          <w:i/>
          <w:iCs/>
          <w:color w:val="000000"/>
          <w:sz w:val="20"/>
          <w:szCs w:val="20"/>
          <w:lang w:eastAsia="pt-BR"/>
        </w:rPr>
      </w:pPr>
      <w:bookmarkStart w:id="19" w:name="_Hlk105668543"/>
      <w:bookmarkStart w:id="20" w:name="_Hlk105664635"/>
      <w:r>
        <w:rPr>
          <w:rFonts w:hint="default" w:ascii="Calibri" w:hAnsi="Calibri" w:eastAsia="Calibri" w:cs="Calibri"/>
          <w:b/>
          <w:bCs/>
          <w:i/>
          <w:iCs/>
          <w:color w:val="000000"/>
          <w:sz w:val="20"/>
          <w:szCs w:val="20"/>
          <w:lang w:eastAsia="zh-CN"/>
        </w:rPr>
        <w:t xml:space="preserve">Nota Explicativa: </w:t>
      </w:r>
      <w:r>
        <w:rPr>
          <w:rFonts w:hint="default" w:ascii="Calibri" w:hAnsi="Calibri" w:eastAsia="Calibri" w:cs="Calibri"/>
          <w:i/>
          <w:iCs/>
          <w:color w:val="000000"/>
          <w:sz w:val="20"/>
          <w:szCs w:val="20"/>
          <w:lang w:eastAsia="zh-CN"/>
        </w:rPr>
        <w:t xml:space="preserve">Segundo a IN SEGES/ME nº 75/2021, pode ser utilizada a IN SEGES/MP nº 05/2017 quanto à gestão e fiscalização do contrato, no que couber. O art. 39 da IN 5 inclui na gestão contratual a “instrução processual e o encaminhamento da documentação pertinente” para “pagamento”. Com base nesses normativos, entende-se que os critérios de aferição e medição para indicação do valor adequado para o faturamento e posterior pagamento inclui-se no escopo da IN SEGES/ME nº 75/2021, pois são medidas inerentes à fiscalização do contrato e à instrução processual para chegar ao valor a ser inserido na nota fiscal e, eventualmente, ser encaminhado para o setor incumbido dos pagamentos. </w:t>
      </w:r>
    </w:p>
    <w:bookmarkEnd w:id="19"/>
    <w:p>
      <w:pPr>
        <w:spacing w:after="0" w:line="276" w:lineRule="auto"/>
        <w:ind w:left="930"/>
        <w:jc w:val="both"/>
        <w:rPr>
          <w:rFonts w:hint="default" w:ascii="Calibri" w:hAnsi="Calibri" w:cs="Calibri"/>
          <w:color w:val="000000"/>
          <w:sz w:val="20"/>
          <w:szCs w:val="20"/>
          <w:lang w:eastAsia="pt-BR"/>
        </w:rPr>
      </w:pPr>
    </w:p>
    <w:bookmarkEnd w:id="20"/>
    <w:p>
      <w:pPr>
        <w:numPr>
          <w:ilvl w:val="2"/>
          <w:numId w:val="1"/>
        </w:numPr>
        <w:spacing w:after="0" w:line="276" w:lineRule="auto"/>
        <w:jc w:val="both"/>
        <w:rPr>
          <w:rFonts w:hint="default" w:ascii="Calibri" w:hAnsi="Calibri" w:cs="Calibri"/>
          <w:color w:val="000000"/>
          <w:sz w:val="20"/>
          <w:szCs w:val="20"/>
          <w:lang w:eastAsia="pt-BR"/>
        </w:rPr>
      </w:pPr>
      <w:r>
        <w:rPr>
          <w:rFonts w:hint="default" w:ascii="Calibri" w:hAnsi="Calibri" w:cs="Calibri"/>
          <w:color w:val="000000"/>
          <w:sz w:val="20"/>
          <w:szCs w:val="20"/>
        </w:rPr>
        <w:t xml:space="preserve">A avaliação da execução do objeto utilizará </w:t>
      </w:r>
      <w:r>
        <w:rPr>
          <w:rFonts w:hint="default" w:ascii="Calibri" w:hAnsi="Calibri" w:cs="Calibri"/>
          <w:i/>
          <w:color w:val="FF0000"/>
          <w:sz w:val="20"/>
          <w:szCs w:val="20"/>
        </w:rPr>
        <w:t xml:space="preserve">o Instrumento de Medição de Resultado (IMR), conforme previsto no Anexo XXX, </w:t>
      </w:r>
      <w:r>
        <w:rPr>
          <w:rFonts w:hint="default" w:ascii="Calibri" w:hAnsi="Calibri" w:cs="Calibri"/>
          <w:b/>
          <w:bCs/>
          <w:i/>
          <w:color w:val="FF0000"/>
          <w:sz w:val="20"/>
          <w:szCs w:val="20"/>
          <w:u w:val="single"/>
        </w:rPr>
        <w:t>OU</w:t>
      </w:r>
      <w:r>
        <w:rPr>
          <w:rFonts w:hint="default" w:ascii="Calibri" w:hAnsi="Calibri" w:cs="Calibri"/>
          <w:i/>
          <w:color w:val="FF0000"/>
          <w:sz w:val="20"/>
          <w:szCs w:val="20"/>
        </w:rPr>
        <w:t xml:space="preserve"> outro instrumento substituto para aferição da qualidade da prestação dos serviços </w:t>
      </w:r>
      <w:r>
        <w:rPr>
          <w:rFonts w:hint="default" w:ascii="Calibri" w:hAnsi="Calibri" w:cs="Calibri"/>
          <w:b/>
          <w:bCs/>
          <w:i/>
          <w:color w:val="FF0000"/>
          <w:sz w:val="20"/>
          <w:szCs w:val="20"/>
          <w:u w:val="single"/>
        </w:rPr>
        <w:t xml:space="preserve">OU </w:t>
      </w:r>
      <w:r>
        <w:rPr>
          <w:rFonts w:hint="default" w:ascii="Calibri" w:hAnsi="Calibri" w:cs="Calibri"/>
          <w:i/>
          <w:color w:val="FF0000"/>
          <w:sz w:val="20"/>
          <w:szCs w:val="20"/>
          <w:u w:val="single"/>
        </w:rPr>
        <w:t>o disposto neste item</w:t>
      </w:r>
      <w:r>
        <w:rPr>
          <w:rFonts w:hint="default" w:ascii="Calibri" w:hAnsi="Calibri" w:cs="Calibri"/>
          <w:color w:val="000000"/>
          <w:sz w:val="20"/>
          <w:szCs w:val="20"/>
        </w:rPr>
        <w:t>, devendo haver o redimensionamento no pagamento com base nos indicadores estabelecidos, sempre que a CONTRATADA:</w:t>
      </w:r>
    </w:p>
    <w:p>
      <w:pPr>
        <w:spacing w:before="120" w:after="120" w:line="276" w:lineRule="auto"/>
        <w:ind w:left="1416"/>
        <w:jc w:val="both"/>
        <w:rPr>
          <w:rFonts w:hint="default" w:ascii="Calibri" w:hAnsi="Calibri" w:eastAsia="Calibri" w:cs="Calibri"/>
          <w:sz w:val="20"/>
          <w:szCs w:val="20"/>
        </w:rPr>
      </w:pPr>
      <w:r>
        <w:rPr>
          <w:rFonts w:hint="default" w:ascii="Calibri" w:hAnsi="Calibri" w:eastAsia="Calibri" w:cs="Calibri"/>
          <w:sz w:val="20"/>
          <w:szCs w:val="20"/>
        </w:rPr>
        <w:t>a) não produzir os resultados, deixar de executar, ou não executar com a qualidade mínima exigida as atividades contratadas; ou</w:t>
      </w:r>
    </w:p>
    <w:p>
      <w:pPr>
        <w:spacing w:before="120" w:after="120" w:line="276" w:lineRule="auto"/>
        <w:ind w:left="1416"/>
        <w:jc w:val="both"/>
        <w:rPr>
          <w:rFonts w:hint="default" w:ascii="Calibri" w:hAnsi="Calibri" w:eastAsia="Calibri" w:cs="Calibri"/>
          <w:sz w:val="20"/>
          <w:szCs w:val="20"/>
        </w:rPr>
      </w:pPr>
      <w:r>
        <w:rPr>
          <w:rFonts w:hint="default" w:ascii="Calibri" w:hAnsi="Calibri" w:eastAsia="Calibri" w:cs="Calibri"/>
          <w:sz w:val="20"/>
          <w:szCs w:val="20"/>
        </w:rPr>
        <w:t>b) deixar de utilizar materiais e recursos humanos exigidos para a execução do serviço, ou utilizá-los com qualidade ou quantidade inferior à demandada.</w:t>
      </w:r>
    </w:p>
    <w:p>
      <w:pPr>
        <w:numPr>
          <w:ilvl w:val="2"/>
          <w:numId w:val="1"/>
        </w:numPr>
        <w:spacing w:after="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A utilização do IMR não impede a aplicação concomitante de outros mecanismos para a avaliação da prestação dos serviços.</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iCs/>
          <w:sz w:val="20"/>
          <w:szCs w:val="20"/>
          <w:lang w:eastAsia="zh-CN"/>
        </w:rPr>
      </w:pPr>
      <w:r>
        <w:rPr>
          <w:rFonts w:hint="default" w:ascii="Calibri" w:hAnsi="Calibri" w:eastAsia="Calibri" w:cs="Calibri"/>
          <w:b/>
          <w:bCs/>
          <w:i/>
          <w:iCs/>
          <w:color w:val="000000" w:themeColor="text1"/>
          <w:sz w:val="20"/>
          <w:szCs w:val="20"/>
          <w:lang w:eastAsia="zh-CN"/>
          <w14:textFill>
            <w14:solidFill>
              <w14:schemeClr w14:val="tx1"/>
            </w14:solidFill>
          </w14:textFill>
        </w:rPr>
        <w:t>Nota Explicativa 1</w:t>
      </w:r>
      <w:r>
        <w:rPr>
          <w:rFonts w:hint="default" w:ascii="Calibri" w:hAnsi="Calibri" w:eastAsia="Calibri" w:cs="Calibri"/>
          <w:i/>
          <w:iCs/>
          <w:color w:val="000000" w:themeColor="text1"/>
          <w:sz w:val="20"/>
          <w:szCs w:val="20"/>
          <w:lang w:eastAsia="zh-CN"/>
          <w14:textFill>
            <w14:solidFill>
              <w14:schemeClr w14:val="tx1"/>
            </w14:solidFill>
          </w14:textFill>
        </w:rPr>
        <w:t xml:space="preserve">: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iCs/>
          <w:sz w:val="20"/>
          <w:szCs w:val="20"/>
          <w:lang w:eastAsia="zh-CN"/>
        </w:rPr>
      </w:pPr>
      <w:r>
        <w:rPr>
          <w:rFonts w:hint="default" w:ascii="Calibri" w:hAnsi="Calibri" w:eastAsia="Calibri" w:cs="Calibri"/>
          <w:i/>
          <w:iCs/>
          <w:color w:val="000000" w:themeColor="text1"/>
          <w:sz w:val="20"/>
          <w:szCs w:val="20"/>
          <w:lang w:eastAsia="zh-CN"/>
          <w14:textFill>
            <w14:solidFill>
              <w14:schemeClr w14:val="tx1"/>
            </w14:solidFill>
          </w14:textFill>
        </w:rPr>
        <w:t>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color w:val="000000"/>
          <w:sz w:val="20"/>
          <w:szCs w:val="20"/>
          <w:lang w:eastAsia="zh-CN"/>
        </w:rPr>
      </w:pPr>
      <w:r>
        <w:rPr>
          <w:rFonts w:hint="default" w:ascii="Calibri" w:hAnsi="Calibri" w:eastAsia="Calibri" w:cs="Calibri"/>
          <w:b/>
          <w:i/>
          <w:color w:val="000000"/>
          <w:sz w:val="20"/>
          <w:szCs w:val="20"/>
          <w:lang w:eastAsia="zh-CN"/>
        </w:rPr>
        <w:t>Nota Explicativa 2:</w:t>
      </w:r>
      <w:r>
        <w:rPr>
          <w:rFonts w:hint="default" w:ascii="Calibri" w:hAnsi="Calibri" w:eastAsia="Calibri" w:cs="Calibri"/>
          <w:i/>
          <w:color w:val="000000"/>
          <w:sz w:val="20"/>
          <w:szCs w:val="20"/>
          <w:lang w:eastAsia="zh-CN"/>
        </w:rPr>
        <w:t xml:space="preserve"> Caso o órgão não tenha elaborado o IMR, deverá suprimir os trechos em itálico que fazem referência a ele.</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color w:val="000000"/>
          <w:sz w:val="20"/>
          <w:szCs w:val="20"/>
          <w:lang w:eastAsia="zh-CN"/>
        </w:rPr>
      </w:pPr>
      <w:r>
        <w:rPr>
          <w:rFonts w:hint="default" w:ascii="Calibri" w:hAnsi="Calibri" w:eastAsia="Calibri" w:cs="Calibri"/>
          <w:b/>
          <w:bCs/>
          <w:i/>
          <w:color w:val="000000"/>
          <w:sz w:val="20"/>
          <w:szCs w:val="20"/>
          <w:lang w:eastAsia="zh-CN"/>
        </w:rPr>
        <w:t>Nota Explicativa 3:</w:t>
      </w:r>
      <w:r>
        <w:rPr>
          <w:rFonts w:hint="default" w:ascii="Calibri" w:hAnsi="Calibri" w:eastAsia="Calibri" w:cs="Calibri"/>
          <w:i/>
          <w:color w:val="000000"/>
          <w:sz w:val="20"/>
          <w:szCs w:val="20"/>
          <w:lang w:eastAsia="zh-CN"/>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pPr>
        <w:pBdr>
          <w:top w:val="single" w:color="000080" w:sz="4" w:space="1"/>
          <w:left w:val="single" w:color="000080" w:sz="4" w:space="4"/>
          <w:bottom w:val="single" w:color="000080" w:sz="4" w:space="0"/>
          <w:right w:val="single" w:color="000080" w:sz="4" w:space="4"/>
        </w:pBdr>
        <w:shd w:val="clear" w:color="auto" w:fill="FFFFCC"/>
        <w:suppressAutoHyphens/>
        <w:spacing w:before="120" w:after="0" w:line="240" w:lineRule="auto"/>
        <w:jc w:val="both"/>
        <w:rPr>
          <w:rFonts w:hint="default" w:ascii="Calibri" w:hAnsi="Calibri" w:eastAsia="Calibri" w:cs="Calibri"/>
          <w:i/>
          <w:color w:val="000000"/>
          <w:sz w:val="20"/>
          <w:szCs w:val="20"/>
          <w:lang w:eastAsia="zh-CN"/>
        </w:rPr>
      </w:pPr>
      <w:r>
        <w:rPr>
          <w:rFonts w:hint="default" w:ascii="Calibri" w:hAnsi="Calibri" w:eastAsia="Calibri" w:cs="Calibri"/>
          <w:i/>
          <w:color w:val="000000"/>
          <w:sz w:val="20"/>
          <w:szCs w:val="20"/>
          <w:lang w:eastAsia="zh-CN"/>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p>
      <w:pPr>
        <w:numPr>
          <w:ilvl w:val="2"/>
          <w:numId w:val="15"/>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A aferição da execução contratual para fins de pagamento considerará os seguintes critérios:</w:t>
      </w:r>
    </w:p>
    <w:p>
      <w:pPr>
        <w:numPr>
          <w:ilvl w:val="3"/>
          <w:numId w:val="15"/>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w:t>
      </w:r>
    </w:p>
    <w:p>
      <w:pPr>
        <w:numPr>
          <w:ilvl w:val="3"/>
          <w:numId w:val="15"/>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w:t>
      </w:r>
    </w:p>
    <w:p>
      <w:pPr>
        <w:numPr>
          <w:ilvl w:val="3"/>
          <w:numId w:val="15"/>
        </w:numPr>
        <w:spacing w:before="120" w:after="120" w:line="276" w:lineRule="auto"/>
        <w:jc w:val="both"/>
        <w:rPr>
          <w:rFonts w:hint="default" w:ascii="Calibri" w:hAnsi="Calibri" w:eastAsia="Calibri" w:cs="Calibri"/>
          <w:i/>
          <w:color w:val="FF0000"/>
          <w:sz w:val="20"/>
          <w:szCs w:val="20"/>
        </w:rPr>
      </w:pPr>
      <w:r>
        <w:rPr>
          <w:rFonts w:hint="default" w:ascii="Calibri" w:hAnsi="Calibri" w:eastAsia="Calibri" w:cs="Calibri"/>
          <w:i/>
          <w:color w:val="FF0000"/>
          <w:sz w:val="20"/>
          <w:szCs w:val="20"/>
        </w:rPr>
        <w:t xml:space="preserve">....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b/>
          <w:bCs/>
          <w:i/>
          <w:iCs/>
          <w:color w:val="000000"/>
          <w:sz w:val="20"/>
          <w:szCs w:val="20"/>
        </w:rPr>
        <w:t>Nota Explicativa:</w:t>
      </w:r>
      <w:r>
        <w:rPr>
          <w:rFonts w:hint="default" w:ascii="Calibri" w:hAnsi="Calibri" w:eastAsia="Calibri" w:cs="Calibri"/>
          <w:i/>
          <w:iCs/>
          <w:color w:val="000000"/>
          <w:sz w:val="20"/>
          <w:szCs w:val="20"/>
        </w:rPr>
        <w:t xml:space="preserve"> O subitem 2.6, alínea “d”, do Anexo V da Instrução Normativa nº 5/2017, trata de critérios de medição e pagamento a serem considerados na formulação desse item, de modo que se recomenda a leitura do referido normativo.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 xml:space="preserve">Questões a serem vistas são: </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a) unidade de medida para faturamento e mensuração do resultado;</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b) produtividade de referência ou critérios de qualidade para a execução contratual;</w:t>
      </w:r>
    </w:p>
    <w:p>
      <w:pPr>
        <w:pBdr>
          <w:top w:val="single" w:color="1F497D" w:sz="4" w:space="1"/>
          <w:left w:val="single" w:color="1F497D" w:sz="4" w:space="4"/>
          <w:bottom w:val="single" w:color="1F497D" w:sz="4" w:space="0"/>
          <w:right w:val="single" w:color="1F497D" w:sz="4" w:space="4"/>
        </w:pBdr>
        <w:shd w:val="clear" w:color="auto" w:fill="FFFFCC"/>
        <w:spacing w:before="120" w:after="0" w:line="240" w:lineRule="auto"/>
        <w:jc w:val="both"/>
        <w:rPr>
          <w:rFonts w:hint="default" w:ascii="Calibri" w:hAnsi="Calibri" w:eastAsia="Calibri" w:cs="Calibri"/>
          <w:i/>
          <w:iCs/>
          <w:color w:val="000000"/>
          <w:sz w:val="20"/>
          <w:szCs w:val="20"/>
        </w:rPr>
      </w:pPr>
      <w:r>
        <w:rPr>
          <w:rFonts w:hint="default" w:ascii="Calibri" w:hAnsi="Calibri" w:eastAsia="Calibri" w:cs="Calibri"/>
          <w:i/>
          <w:iCs/>
          <w:color w:val="000000"/>
          <w:sz w:val="20"/>
          <w:szCs w:val="20"/>
        </w:rPr>
        <w:t>c) indicadores mínimos de desempenho para aceitação do serviço ou eventual glosa.</w:t>
      </w:r>
    </w:p>
    <w:p>
      <w:pPr>
        <w:numPr>
          <w:ilvl w:val="2"/>
          <w:numId w:val="15"/>
        </w:numPr>
        <w:spacing w:before="120" w:after="120" w:line="276" w:lineRule="auto"/>
        <w:jc w:val="both"/>
        <w:rPr>
          <w:rFonts w:hint="default" w:ascii="Calibri" w:hAnsi="Calibri" w:eastAsia="Calibri" w:cs="Calibri"/>
          <w:color w:val="000000"/>
          <w:sz w:val="20"/>
          <w:szCs w:val="20"/>
          <w:lang w:eastAsia="pt-BR"/>
        </w:rPr>
      </w:pPr>
      <w:r>
        <w:rPr>
          <w:rFonts w:hint="default" w:ascii="Calibri" w:hAnsi="Calibri" w:eastAsia="Calibri" w:cs="Calibri"/>
          <w:color w:val="000000"/>
          <w:sz w:val="20"/>
          <w:szCs w:val="20"/>
        </w:rPr>
        <w:t>Nos termos do item 1, do Anexo VIII-A da Instrução Normativa SEGES/MP nº 05, de 2017, será indicada a retenção ou glosa no pagamento, proporcional à irregularidade verificada, sem prejuízo das sanções cabíveis, caso se constate que a Contratada:</w:t>
      </w:r>
    </w:p>
    <w:p>
      <w:pPr>
        <w:numPr>
          <w:ilvl w:val="3"/>
          <w:numId w:val="15"/>
        </w:numPr>
        <w:spacing w:before="120" w:after="12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não produziu os resultados acordados;</w:t>
      </w:r>
    </w:p>
    <w:p>
      <w:pPr>
        <w:numPr>
          <w:ilvl w:val="3"/>
          <w:numId w:val="15"/>
        </w:numPr>
        <w:spacing w:before="120" w:after="12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deixou de executar as atividades contratadas, ou não as executou com a qualidade mínima exigida;</w:t>
      </w:r>
    </w:p>
    <w:p>
      <w:pPr>
        <w:numPr>
          <w:ilvl w:val="3"/>
          <w:numId w:val="15"/>
        </w:numPr>
        <w:spacing w:before="120" w:after="120" w:line="276" w:lineRule="auto"/>
        <w:jc w:val="both"/>
        <w:rPr>
          <w:rFonts w:hint="default" w:ascii="Calibri" w:hAnsi="Calibri" w:eastAsia="Calibri" w:cs="Calibri"/>
          <w:color w:val="000000"/>
          <w:sz w:val="20"/>
          <w:szCs w:val="20"/>
        </w:rPr>
      </w:pPr>
      <w:r>
        <w:rPr>
          <w:rFonts w:hint="default" w:ascii="Calibri" w:hAnsi="Calibri" w:eastAsia="Calibri" w:cs="Calibri"/>
          <w:color w:val="000000"/>
          <w:sz w:val="20"/>
          <w:szCs w:val="20"/>
        </w:rPr>
        <w:t>deixou de utilizar os materiais e recursos humanos exigidos para a execução do serviço, ou utilizou-os com qualidade ou quantidade inferior à demandada.</w:t>
      </w:r>
    </w:p>
    <w:p>
      <w:pPr>
        <w:pStyle w:val="45"/>
        <w:spacing w:before="0" w:after="0"/>
        <w:ind w:left="284"/>
        <w:rPr>
          <w:rFonts w:hint="default" w:ascii="Calibri" w:hAnsi="Calibri" w:cs="Calibri"/>
          <w:bCs/>
          <w:color w:val="auto"/>
          <w:sz w:val="20"/>
          <w:szCs w:val="20"/>
        </w:rPr>
      </w:pPr>
    </w:p>
    <w:p>
      <w:pPr>
        <w:numPr>
          <w:ilvl w:val="1"/>
          <w:numId w:val="1"/>
        </w:numPr>
        <w:spacing w:after="0" w:line="276" w:lineRule="auto"/>
        <w:ind w:left="0" w:firstLine="0"/>
        <w:jc w:val="both"/>
        <w:rPr>
          <w:rFonts w:hint="default" w:ascii="Calibri" w:hAnsi="Calibri" w:cs="Calibri"/>
          <w:b/>
          <w:bCs/>
          <w:sz w:val="20"/>
          <w:szCs w:val="20"/>
        </w:rPr>
      </w:pPr>
      <w:r>
        <w:rPr>
          <w:rFonts w:hint="default" w:ascii="Calibri" w:hAnsi="Calibri" w:cs="Calibri"/>
          <w:b/>
          <w:bCs/>
          <w:sz w:val="20"/>
          <w:szCs w:val="20"/>
        </w:rPr>
        <w:t>DO RECEBIMENTO</w:t>
      </w:r>
    </w:p>
    <w:p>
      <w:pPr>
        <w:pStyle w:val="45"/>
        <w:spacing w:before="0" w:after="0"/>
        <w:ind w:left="284"/>
        <w:rPr>
          <w:rFonts w:hint="default" w:ascii="Calibri" w:hAnsi="Calibri" w:cs="Calibri"/>
          <w:bCs/>
          <w:color w:val="auto"/>
          <w:sz w:val="20"/>
          <w:szCs w:val="20"/>
        </w:rPr>
      </w:pPr>
    </w:p>
    <w:p>
      <w:pPr>
        <w:pStyle w:val="45"/>
        <w:numPr>
          <w:ilvl w:val="2"/>
          <w:numId w:val="15"/>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Os serviços serão recebidos provisoriamente, </w:t>
      </w:r>
      <w:r>
        <w:rPr>
          <w:rFonts w:hint="default" w:ascii="Calibri" w:hAnsi="Calibri" w:cs="Calibri"/>
          <w:sz w:val="20"/>
          <w:szCs w:val="20"/>
        </w:rPr>
        <w:t>mediante termo detalhado</w:t>
      </w:r>
      <w:r>
        <w:rPr>
          <w:rFonts w:hint="default" w:ascii="Calibri" w:hAnsi="Calibri" w:cs="Calibri"/>
          <w:bCs/>
          <w:color w:val="auto"/>
          <w:sz w:val="20"/>
          <w:szCs w:val="20"/>
        </w:rPr>
        <w:t xml:space="preserve">, no prazo de </w:t>
      </w:r>
      <w:r>
        <w:rPr>
          <w:rFonts w:hint="default" w:ascii="Calibri" w:hAnsi="Calibri" w:cs="Calibri"/>
          <w:bCs/>
          <w:color w:val="FF0000"/>
          <w:sz w:val="20"/>
          <w:szCs w:val="20"/>
        </w:rPr>
        <w:t xml:space="preserve">.....(.....) </w:t>
      </w:r>
      <w:r>
        <w:rPr>
          <w:rFonts w:hint="default" w:ascii="Calibri" w:hAnsi="Calibri" w:cs="Calibri"/>
          <w:bCs/>
          <w:color w:val="auto"/>
          <w:sz w:val="20"/>
          <w:szCs w:val="20"/>
        </w:rPr>
        <w:t xml:space="preserve">dias, contado do </w:t>
      </w:r>
      <w:r>
        <w:rPr>
          <w:rFonts w:hint="default" w:ascii="Calibri" w:hAnsi="Calibri" w:cs="Calibri"/>
          <w:bCs/>
          <w:i/>
          <w:iCs/>
          <w:color w:val="FF0000"/>
          <w:sz w:val="20"/>
          <w:szCs w:val="20"/>
        </w:rPr>
        <w:t>[...](inserir evento que faça iniciar prazo de contagem conforme nota explicativa abaixo)</w:t>
      </w:r>
      <w:r>
        <w:rPr>
          <w:rFonts w:hint="default" w:ascii="Calibri" w:hAnsi="Calibri" w:cs="Calibri"/>
          <w:bCs/>
          <w:color w:val="auto"/>
          <w:sz w:val="20"/>
          <w:szCs w:val="20"/>
        </w:rPr>
        <w:t xml:space="preserve">, pelo(a) responsável pelo acompanhamento e fiscalização do contrato, </w:t>
      </w:r>
      <w:r>
        <w:rPr>
          <w:rFonts w:hint="default" w:ascii="Calibri" w:hAnsi="Calibri" w:cs="Calibri"/>
          <w:sz w:val="20"/>
          <w:szCs w:val="20"/>
        </w:rPr>
        <w:t>mediante termo detalhado, quando verificado o cumprimento das exigências de caráter técnico</w:t>
      </w:r>
      <w:r>
        <w:rPr>
          <w:rFonts w:hint="default" w:ascii="Calibri" w:hAnsi="Calibri" w:cs="Calibri"/>
          <w:bCs/>
          <w:color w:val="auto"/>
          <w:sz w:val="20"/>
          <w:szCs w:val="20"/>
        </w:rPr>
        <w:t>.</w:t>
      </w:r>
    </w:p>
    <w:p>
      <w:pPr>
        <w:pStyle w:val="45"/>
        <w:spacing w:before="0" w:after="0"/>
        <w:rPr>
          <w:rFonts w:hint="default" w:ascii="Calibri" w:hAnsi="Calibri" w:cs="Calibri"/>
          <w:bCs/>
          <w:color w:val="auto"/>
          <w:sz w:val="20"/>
          <w:szCs w:val="20"/>
        </w:rPr>
      </w:pPr>
    </w:p>
    <w:p>
      <w:pPr>
        <w:pStyle w:val="42"/>
        <w:spacing w:before="0"/>
        <w:rPr>
          <w:rFonts w:hint="default" w:ascii="Calibri" w:hAnsi="Calibri" w:cs="Calibri"/>
        </w:rPr>
      </w:pPr>
      <w:r>
        <w:rPr>
          <w:rFonts w:hint="default" w:ascii="Calibri" w:hAnsi="Calibri" w:cs="Calibri"/>
          <w:b/>
          <w:bCs/>
        </w:rPr>
        <w:t xml:space="preserve">Nota Explicativa 1: </w:t>
      </w:r>
      <w:r>
        <w:rPr>
          <w:rFonts w:hint="default" w:ascii="Calibri" w:hAnsi="Calibri" w:cs="Calibri"/>
        </w:rPr>
        <w:t>Ao contrário da Lei nº 8.666/93, a Lei nº 14.133/21 não trouxe prazo máximo de recebimento provisório, de modo que é possível a previsão de qualquer prazo julgado oportuno. Dito isso, deve-se atentar que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pPr>
        <w:pStyle w:val="42"/>
        <w:spacing w:before="0"/>
        <w:rPr>
          <w:rFonts w:hint="default" w:ascii="Calibri" w:hAnsi="Calibri" w:cs="Calibri"/>
        </w:rPr>
      </w:pPr>
    </w:p>
    <w:p>
      <w:pPr>
        <w:pStyle w:val="42"/>
        <w:spacing w:before="0"/>
        <w:rPr>
          <w:rFonts w:hint="default" w:ascii="Calibri" w:hAnsi="Calibri" w:cs="Calibri"/>
        </w:rPr>
      </w:pPr>
      <w:r>
        <w:rPr>
          <w:rFonts w:hint="default" w:ascii="Calibri" w:hAnsi="Calibri" w:cs="Calibri"/>
          <w:b/>
          <w:bCs/>
        </w:rPr>
        <w:t xml:space="preserve">Nota Explicativa 2: </w:t>
      </w:r>
      <w:r>
        <w:rPr>
          <w:rFonts w:hint="default" w:ascii="Calibri" w:hAnsi="Calibri" w:cs="Calibri"/>
        </w:rPr>
        <w:t>Recomenda-se incluir um evento que sirva de termo inicial para os trâmites de recebimento, faturamento e pagamento. Ele dependerá da natureza do contrato (se continuado ou por escopo) e da existência ou não de parcelas. Pode ser a mera finalização de um mês, a emissão de um relatório de ordens de serviço cumpridas no mês, a entrega de uma parcela específica etc. Com a ocorrência desse evento, inicia-se a contagem do prazo do recebimento provisório. Se houver a necessidade de o contratado apresentar documentação para esse fim, é necessário que isso fique especificado. Neste momento não há que se falar em apresentação da Nota Fiscal, a luz do que dispõe o art. 50, II, “c” da IN SEGES/MP 5/2017, aplicável em razão da IN SEGES/ME 75/2021.</w:t>
      </w:r>
    </w:p>
    <w:p>
      <w:pPr>
        <w:pStyle w:val="45"/>
        <w:numPr>
          <w:ilvl w:val="3"/>
          <w:numId w:val="15"/>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pPr>
        <w:pStyle w:val="45"/>
        <w:numPr>
          <w:ilvl w:val="4"/>
          <w:numId w:val="15"/>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ao contratado, registrando em relatório a ser encaminhado ao gestor do contrato.</w:t>
      </w:r>
    </w:p>
    <w:p>
      <w:pPr>
        <w:pStyle w:val="45"/>
        <w:numPr>
          <w:ilvl w:val="4"/>
          <w:numId w:val="15"/>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 xml:space="preserve">O contratado fica obrigado a reparar, corrigir, remover, reconstruir ou substituir, às suas expensas, no todo ou em parte, o objeto em que se verificarem vícios, defeitos ou incorreções resultantes da execução ou de materiais empregados, cabendo à fiscalização não atestar a última e/ou única medição de serviços até que sejam sanadas todas as eventuais pendências que possam vir a ser apontadas no Recebimento Provisório. </w:t>
      </w:r>
    </w:p>
    <w:p>
      <w:pPr>
        <w:pStyle w:val="45"/>
        <w:numPr>
          <w:ilvl w:val="4"/>
          <w:numId w:val="15"/>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O recebimento provisório também ficará sujeito, quando cabível, à conclusão de todos os testes de campo e à entrega dos Manuais e Instruções exigíveis.</w:t>
      </w:r>
    </w:p>
    <w:p>
      <w:pPr>
        <w:pStyle w:val="45"/>
        <w:numPr>
          <w:ilvl w:val="3"/>
          <w:numId w:val="15"/>
        </w:numPr>
        <w:spacing w:before="0" w:after="0"/>
        <w:rPr>
          <w:rFonts w:hint="default" w:ascii="Calibri" w:hAnsi="Calibri" w:cs="Calibri"/>
          <w:bCs/>
          <w:color w:val="auto"/>
          <w:sz w:val="20"/>
          <w:szCs w:val="20"/>
        </w:rPr>
      </w:pPr>
      <w:r>
        <w:rPr>
          <w:rFonts w:hint="default" w:ascii="Calibri" w:hAnsi="Calibri" w:cs="Calibri"/>
          <w:bCs/>
          <w:color w:val="auto"/>
          <w:sz w:val="20"/>
          <w:szCs w:val="20"/>
        </w:rPr>
        <w:t>No prazo supracitado para o recebimento provisório, cada fiscal ou a equipe de fiscalização deverá elaborar Relatório Circunstanciado em consonância com suas atribuições, e encaminhá-lo ao gestor do contrato.</w:t>
      </w:r>
    </w:p>
    <w:p>
      <w:pPr>
        <w:pStyle w:val="45"/>
        <w:numPr>
          <w:ilvl w:val="4"/>
          <w:numId w:val="15"/>
        </w:numPr>
        <w:spacing w:before="0" w:after="0"/>
        <w:ind w:left="2977"/>
        <w:rPr>
          <w:rFonts w:hint="default" w:ascii="Calibri" w:hAnsi="Calibri" w:cs="Calibri"/>
          <w:bCs/>
          <w:color w:val="auto"/>
          <w:sz w:val="20"/>
          <w:szCs w:val="20"/>
        </w:rPr>
      </w:pPr>
      <w:r>
        <w:rPr>
          <w:rFonts w:hint="default" w:ascii="Calibri" w:hAnsi="Calibri" w:cs="Calibri"/>
          <w:bCs/>
          <w:color w:val="auto"/>
          <w:sz w:val="20"/>
          <w:szCs w:val="20"/>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pPr>
        <w:pStyle w:val="45"/>
        <w:numPr>
          <w:ilvl w:val="2"/>
          <w:numId w:val="15"/>
        </w:numPr>
        <w:spacing w:before="0" w:after="0"/>
        <w:rPr>
          <w:rFonts w:hint="default" w:ascii="Calibri" w:hAnsi="Calibri" w:cs="Calibri"/>
        </w:rPr>
      </w:pPr>
      <w:r>
        <w:rPr>
          <w:rFonts w:hint="default" w:ascii="Calibri" w:hAnsi="Calibri" w:cs="Calibri"/>
          <w:bCs/>
          <w:color w:val="auto"/>
          <w:sz w:val="20"/>
          <w:szCs w:val="20"/>
        </w:rPr>
        <w:t>Os serviços poderão ser rejeitados, no todo ou em parte, quando em desacordo com as especificações constantes neste Termo de Referência e na proposta, devendo ser</w:t>
      </w:r>
      <w:r>
        <w:rPr>
          <w:rFonts w:hint="default" w:ascii="Calibri" w:hAnsi="Calibri" w:cs="Calibri"/>
          <w:bCs/>
          <w:strike/>
          <w:color w:val="auto"/>
          <w:sz w:val="20"/>
          <w:szCs w:val="20"/>
        </w:rPr>
        <w:t xml:space="preserve"> </w:t>
      </w:r>
      <w:r>
        <w:rPr>
          <w:rFonts w:hint="default" w:ascii="Calibri" w:hAnsi="Calibri" w:cs="Calibri"/>
          <w:bCs/>
          <w:color w:val="auto"/>
          <w:sz w:val="20"/>
          <w:szCs w:val="20"/>
        </w:rPr>
        <w:t xml:space="preserve">corrigidos/refeitos/substituídos no prazo de </w:t>
      </w:r>
      <w:r>
        <w:rPr>
          <w:rFonts w:hint="default" w:ascii="Calibri" w:hAnsi="Calibri" w:cs="Calibri"/>
          <w:bCs/>
          <w:color w:val="FF0000"/>
          <w:sz w:val="20"/>
          <w:szCs w:val="20"/>
        </w:rPr>
        <w:t xml:space="preserve">.... (...) </w:t>
      </w:r>
      <w:r>
        <w:rPr>
          <w:rFonts w:hint="default" w:ascii="Calibri" w:hAnsi="Calibri" w:cs="Calibri"/>
          <w:bCs/>
          <w:color w:val="auto"/>
          <w:sz w:val="20"/>
          <w:szCs w:val="20"/>
        </w:rPr>
        <w:t>dias, a contar da notificação do contratado, às suas custas, sem prejuízo da aplicação das penalidades.</w:t>
      </w:r>
    </w:p>
    <w:p>
      <w:pPr>
        <w:pStyle w:val="45"/>
        <w:numPr>
          <w:ilvl w:val="2"/>
          <w:numId w:val="15"/>
        </w:numPr>
        <w:spacing w:before="0" w:after="0"/>
        <w:rPr>
          <w:rFonts w:hint="default" w:ascii="Calibri" w:hAnsi="Calibri" w:cs="Calibri"/>
          <w:bCs/>
          <w:color w:val="auto"/>
          <w:sz w:val="20"/>
          <w:szCs w:val="20"/>
        </w:rPr>
      </w:pPr>
      <w:r>
        <w:rPr>
          <w:rFonts w:hint="default" w:ascii="Calibri" w:hAnsi="Calibri" w:cs="Calibri"/>
          <w:bCs/>
          <w:color w:val="auto"/>
          <w:sz w:val="20"/>
          <w:szCs w:val="20"/>
        </w:rPr>
        <w:t xml:space="preserve">Os serviços serão recebidos definitivamente no prazo de </w:t>
      </w:r>
      <w:r>
        <w:rPr>
          <w:rFonts w:hint="default" w:ascii="Calibri" w:hAnsi="Calibri" w:cs="Calibri"/>
          <w:bCs/>
          <w:color w:val="FF0000"/>
          <w:sz w:val="20"/>
          <w:szCs w:val="20"/>
        </w:rPr>
        <w:t>......(.....)</w:t>
      </w:r>
      <w:r>
        <w:rPr>
          <w:rFonts w:hint="default" w:ascii="Calibri" w:hAnsi="Calibri" w:cs="Calibri"/>
          <w:bCs/>
          <w:color w:val="auto"/>
          <w:sz w:val="20"/>
          <w:szCs w:val="20"/>
        </w:rPr>
        <w:t xml:space="preserve"> dias, contados do recebimento provisório, </w:t>
      </w:r>
      <w:r>
        <w:rPr>
          <w:rFonts w:hint="default" w:ascii="Calibri" w:hAnsi="Calibri" w:cs="Calibri"/>
          <w:sz w:val="20"/>
          <w:szCs w:val="20"/>
        </w:rPr>
        <w:t>por servidor ou comissão designada pela autoridade competente,</w:t>
      </w:r>
      <w:r>
        <w:rPr>
          <w:rFonts w:hint="default" w:ascii="Calibri" w:hAnsi="Calibri" w:cs="Calibri"/>
          <w:bCs/>
          <w:color w:val="auto"/>
          <w:sz w:val="20"/>
          <w:szCs w:val="20"/>
        </w:rPr>
        <w:t xml:space="preserve"> após a verificação da qualidade e quantidade do serviço e consequente aceitação mediante termo detalhado, obedecendo as seguintes diretrizes:</w:t>
      </w:r>
    </w:p>
    <w:p>
      <w:pPr>
        <w:pStyle w:val="42"/>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pPr>
        <w:pStyle w:val="45"/>
        <w:spacing w:before="0" w:after="0"/>
        <w:rPr>
          <w:rFonts w:hint="default" w:ascii="Calibri" w:hAnsi="Calibri" w:cs="Calibri"/>
          <w:bCs/>
          <w:color w:val="auto"/>
          <w:sz w:val="20"/>
          <w:szCs w:val="20"/>
        </w:rPr>
      </w:pPr>
    </w:p>
    <w:p>
      <w:pPr>
        <w:pStyle w:val="45"/>
        <w:numPr>
          <w:ilvl w:val="3"/>
          <w:numId w:val="15"/>
        </w:numPr>
        <w:tabs>
          <w:tab w:val="left" w:pos="1701"/>
          <w:tab w:val="left" w:pos="1985"/>
        </w:tabs>
        <w:spacing w:before="0" w:after="0"/>
        <w:rPr>
          <w:rFonts w:hint="default" w:ascii="Calibri" w:hAnsi="Calibri" w:cs="Calibri"/>
          <w:bCs/>
          <w:color w:val="auto"/>
          <w:sz w:val="20"/>
          <w:szCs w:val="20"/>
        </w:rPr>
      </w:pPr>
      <w:r>
        <w:rPr>
          <w:rFonts w:hint="default" w:ascii="Calibri" w:hAnsi="Calibri" w:cs="Calibri"/>
          <w:sz w:val="20"/>
          <w:szCs w:val="20"/>
        </w:rPr>
        <w:t>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r>
        <w:rPr>
          <w:rFonts w:hint="default" w:ascii="Calibri" w:hAnsi="Calibri" w:cs="Calibri"/>
          <w:szCs w:val="20"/>
        </w:rPr>
        <w:t>;</w:t>
      </w:r>
    </w:p>
    <w:p>
      <w:pPr>
        <w:pStyle w:val="45"/>
        <w:numPr>
          <w:ilvl w:val="3"/>
          <w:numId w:val="15"/>
        </w:numPr>
        <w:tabs>
          <w:tab w:val="left" w:pos="1701"/>
        </w:tabs>
        <w:spacing w:before="0" w:after="0"/>
        <w:rPr>
          <w:rFonts w:hint="default" w:ascii="Calibri" w:hAnsi="Calibri" w:cs="Calibri"/>
          <w:bCs/>
          <w:color w:val="auto"/>
          <w:sz w:val="20"/>
          <w:szCs w:val="20"/>
        </w:rPr>
      </w:pPr>
      <w:r>
        <w:rPr>
          <w:rFonts w:hint="default" w:ascii="Calibri" w:hAnsi="Calibri" w:cs="Calibri"/>
          <w:sz w:val="20"/>
          <w:szCs w:val="20"/>
        </w:rPr>
        <w:t>Emitir Termo Circunstanciado para efeito de recebimento definitivo dos serviços prestados, com base nos relatórios e documentações apresentadas</w:t>
      </w:r>
      <w:r>
        <w:rPr>
          <w:rFonts w:hint="default" w:ascii="Calibri" w:hAnsi="Calibri" w:cs="Calibri"/>
          <w:szCs w:val="20"/>
        </w:rPr>
        <w:t>; e</w:t>
      </w:r>
    </w:p>
    <w:p>
      <w:pPr>
        <w:pStyle w:val="45"/>
        <w:numPr>
          <w:ilvl w:val="3"/>
          <w:numId w:val="15"/>
        </w:numPr>
        <w:tabs>
          <w:tab w:val="left" w:pos="1701"/>
        </w:tabs>
        <w:spacing w:before="0" w:after="0"/>
        <w:rPr>
          <w:rFonts w:hint="default" w:ascii="Calibri" w:hAnsi="Calibri" w:cs="Calibri"/>
          <w:bCs/>
          <w:color w:val="auto"/>
          <w:sz w:val="20"/>
          <w:szCs w:val="20"/>
        </w:rPr>
      </w:pPr>
      <w:r>
        <w:rPr>
          <w:rFonts w:hint="default" w:ascii="Calibri" w:hAnsi="Calibri" w:cs="Calibri"/>
          <w:sz w:val="20"/>
          <w:szCs w:val="20"/>
        </w:rPr>
        <w:t>Comunicar o contratado para que emita a Nota Fiscal ou Fatura, com o valor exato dimensionado pela fiscalização</w:t>
      </w:r>
      <w:r>
        <w:rPr>
          <w:rFonts w:hint="default" w:ascii="Calibri" w:hAnsi="Calibri" w:cs="Calibri"/>
          <w:i/>
          <w:color w:val="FF0000"/>
          <w:sz w:val="20"/>
          <w:szCs w:val="20"/>
        </w:rPr>
        <w:t>, com base no Instrumento de Medição de Resultado (IMR), ou instrumento substituto.</w:t>
      </w:r>
    </w:p>
    <w:p>
      <w:pPr>
        <w:pStyle w:val="42"/>
        <w:rPr>
          <w:rFonts w:hint="default" w:ascii="Calibri" w:hAnsi="Calibri" w:cs="Calibri"/>
          <w:b/>
          <w:bCs/>
          <w:szCs w:val="20"/>
        </w:rPr>
      </w:pPr>
      <w:r>
        <w:rPr>
          <w:rFonts w:hint="default" w:ascii="Calibri" w:hAnsi="Calibri" w:cs="Calibri"/>
          <w:b/>
          <w:bCs/>
          <w:szCs w:val="20"/>
        </w:rPr>
        <w:t>Nota Explicativa 1:</w:t>
      </w:r>
      <w:r>
        <w:rPr>
          <w:rFonts w:hint="default" w:ascii="Calibri" w:hAnsi="Calibri" w:cs="Calibri"/>
          <w:szCs w:val="20"/>
        </w:rPr>
        <w:t xml:space="preserve"> Caso exista algum instrumento para medição dos resultados, deve ser especificado.</w:t>
      </w:r>
    </w:p>
    <w:p>
      <w:pPr>
        <w:pStyle w:val="45"/>
        <w:numPr>
          <w:ilvl w:val="2"/>
          <w:numId w:val="15"/>
        </w:numPr>
        <w:spacing w:before="0" w:after="0"/>
        <w:rPr>
          <w:rFonts w:hint="default" w:ascii="Calibri" w:hAnsi="Calibri" w:cs="Calibri"/>
          <w:bCs/>
          <w:color w:val="auto"/>
          <w:sz w:val="20"/>
          <w:szCs w:val="20"/>
        </w:rPr>
      </w:pPr>
      <w:r>
        <w:rPr>
          <w:rFonts w:hint="default" w:ascii="Calibri" w:hAnsi="Calibri" w:cs="Calibri"/>
          <w:bCs/>
          <w:color w:val="auto"/>
          <w:sz w:val="20"/>
          <w:szCs w:val="20"/>
        </w:rPr>
        <w:t>O recebimento provisório ou definitivo não excluirá a responsabilidade civil pela solidez e pela segurança do serviço nem a responsabilidade ético-profissional pela perfeita execução do contrato.</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eastAsia="Calibri" w:cs="Calibri"/>
          <w:i/>
          <w:iCs/>
          <w:sz w:val="20"/>
          <w:szCs w:val="20"/>
          <w:lang w:val="zh-CN"/>
        </w:rPr>
      </w:pPr>
      <w:r>
        <w:rPr>
          <w:rFonts w:hint="default" w:ascii="Calibri" w:hAnsi="Calibri" w:eastAsia="Calibri" w:cs="Calibri"/>
          <w:b/>
          <w:i/>
          <w:sz w:val="20"/>
          <w:szCs w:val="20"/>
          <w:lang w:val="zh-CN"/>
        </w:rPr>
        <w:t xml:space="preserve">Nota Explicativa: </w:t>
      </w:r>
      <w:r>
        <w:rPr>
          <w:rFonts w:hint="default" w:ascii="Calibri" w:hAnsi="Calibri" w:eastAsia="Calibri" w:cs="Calibri"/>
          <w:i/>
          <w:iCs/>
          <w:sz w:val="20"/>
          <w:szCs w:val="20"/>
          <w:lang w:val="zh-CN"/>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pPr>
        <w:pStyle w:val="43"/>
        <w:numPr>
          <w:ilvl w:val="0"/>
          <w:numId w:val="0"/>
        </w:numPr>
        <w:spacing w:before="0" w:after="0"/>
        <w:ind w:left="360"/>
        <w:rPr>
          <w:rFonts w:hint="default" w:ascii="Calibri" w:hAnsi="Calibri" w:cs="Calibri"/>
          <w:sz w:val="20"/>
          <w:szCs w:val="20"/>
          <w:lang w:val="zh-CN"/>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 xml:space="preserve">Nota Explicativa: </w:t>
      </w:r>
      <w:r>
        <w:rPr>
          <w:rFonts w:hint="default" w:ascii="Calibri" w:hAnsi="Calibri" w:cs="Calibri"/>
          <w:bCs/>
          <w:i/>
          <w:iCs/>
          <w:color w:val="000000"/>
          <w:sz w:val="20"/>
          <w:szCs w:val="20"/>
        </w:rPr>
        <w:t xml:space="preserve">A Administração deverá optar por </w:t>
      </w:r>
      <w:r>
        <w:rPr>
          <w:rFonts w:hint="default" w:ascii="Calibri" w:hAnsi="Calibri" w:cs="Calibri"/>
          <w:b/>
          <w:bCs/>
          <w:i/>
          <w:iCs/>
          <w:color w:val="000000"/>
          <w:sz w:val="20"/>
          <w:szCs w:val="20"/>
        </w:rPr>
        <w:t xml:space="preserve">apenas uma </w:t>
      </w:r>
      <w:r>
        <w:rPr>
          <w:rFonts w:hint="default" w:ascii="Calibri" w:hAnsi="Calibri" w:cs="Calibri"/>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na Instrução Normativa SEGES/ME nº 67, de 8 de julho de 2021; </w:t>
      </w:r>
      <w:r>
        <w:rPr>
          <w:rFonts w:hint="default" w:ascii="Calibri" w:hAnsi="Calibri" w:cs="Calibri"/>
          <w:b/>
          <w:bCs/>
          <w:i/>
          <w:iCs/>
          <w:color w:val="000000"/>
          <w:sz w:val="20"/>
          <w:szCs w:val="20"/>
        </w:rPr>
        <w:t>OU, ALTERNATIVAMENTE</w:t>
      </w:r>
      <w:r>
        <w:rPr>
          <w:rFonts w:hint="default" w:ascii="Calibri" w:hAnsi="Calibri" w:cs="Calibri"/>
          <w:bCs/>
          <w:i/>
          <w:iCs/>
          <w:color w:val="000000"/>
          <w:sz w:val="20"/>
          <w:szCs w:val="20"/>
        </w:rPr>
        <w:t>, 2) a segunda opção que está bem mais adiante, caso se trate de contratação direta, por dispensa ou inexigibilidade de licitação, realizadas sem a utilização do mencionado Sistema de Dispensa Eletrônica.</w:t>
      </w:r>
    </w:p>
    <w:p>
      <w:pPr>
        <w:pStyle w:val="43"/>
        <w:numPr>
          <w:ilvl w:val="0"/>
          <w:numId w:val="33"/>
        </w:numPr>
        <w:spacing w:before="0" w:after="0"/>
        <w:rPr>
          <w:rFonts w:hint="default" w:ascii="Calibri" w:hAnsi="Calibri" w:cs="Calibri"/>
          <w:color w:val="FF0000"/>
          <w:sz w:val="20"/>
          <w:szCs w:val="20"/>
        </w:rPr>
      </w:pPr>
      <w:r>
        <w:rPr>
          <w:rFonts w:hint="default" w:ascii="Calibri" w:hAnsi="Calibri" w:cs="Calibri"/>
          <w:color w:val="FF0000"/>
          <w:sz w:val="20"/>
          <w:szCs w:val="20"/>
        </w:rPr>
        <w:t xml:space="preserve">FORMA E CRITÉRIOS DE SELEÇÃO DO FORNECEDOR (art. 6º, inciso XXIII, alínea ‘h’, da Lei n. 14.133/2021) </w:t>
      </w:r>
    </w:p>
    <w:p>
      <w:pPr>
        <w:spacing w:before="120" w:after="120" w:line="276" w:lineRule="auto"/>
        <w:contextualSpacing/>
        <w:jc w:val="both"/>
        <w:rPr>
          <w:rFonts w:hint="default" w:ascii="Calibri" w:hAnsi="Calibri" w:eastAsia="Times New Roman" w:cs="Calibri"/>
          <w:sz w:val="20"/>
          <w:szCs w:val="20"/>
          <w:lang w:eastAsia="pt-BR"/>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
          <w:bCs/>
          <w:i/>
          <w:iCs/>
          <w:color w:val="000000"/>
          <w:sz w:val="20"/>
          <w:szCs w:val="20"/>
        </w:rPr>
        <w:t>Nota Explicativa:</w:t>
      </w:r>
      <w:r>
        <w:rPr>
          <w:rFonts w:hint="default" w:ascii="Calibri" w:hAnsi="Calibri" w:cs="Calibri"/>
          <w:bCs/>
          <w:i/>
          <w:iCs/>
          <w:color w:val="000000"/>
          <w:sz w:val="20"/>
          <w:szCs w:val="20"/>
        </w:rPr>
        <w:t xml:space="preserve"> Como visto, segundo a IN SEGES/ME n.º </w:t>
      </w:r>
      <w:r>
        <w:rPr>
          <w:rFonts w:hint="default" w:ascii="Calibri" w:hAnsi="Calibri" w:cs="Calibri"/>
          <w:bCs/>
          <w:i/>
          <w:iCs/>
          <w:color w:val="000000"/>
          <w:sz w:val="20"/>
          <w:szCs w:val="20"/>
          <w:lang w:val="pt-BR"/>
        </w:rPr>
        <w:t>81/2022</w:t>
      </w:r>
      <w:r>
        <w:rPr>
          <w:rFonts w:hint="default" w:ascii="Calibri" w:hAnsi="Calibri" w:cs="Calibri"/>
          <w:bCs/>
          <w:i/>
          <w:iCs/>
          <w:color w:val="000000"/>
          <w:sz w:val="20"/>
          <w:szCs w:val="20"/>
        </w:rPr>
        <w:t>, em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p>
    <w:p>
      <w:pPr>
        <w:pBdr>
          <w:top w:val="single" w:color="1F497D" w:sz="4" w:space="1"/>
          <w:left w:val="single" w:color="1F497D" w:sz="4" w:space="4"/>
          <w:bottom w:val="single" w:color="1F497D" w:sz="4" w:space="0"/>
          <w:right w:val="single" w:color="1F497D" w:sz="4" w:space="4"/>
        </w:pBdr>
        <w:shd w:val="clear" w:color="auto" w:fill="FFFFCC"/>
        <w:tabs>
          <w:tab w:val="left" w:pos="0"/>
        </w:tabs>
        <w:snapToGrid w:val="0"/>
        <w:spacing w:before="120" w:after="0" w:line="240" w:lineRule="auto"/>
        <w:contextualSpacing/>
        <w:jc w:val="both"/>
        <w:rPr>
          <w:rFonts w:hint="default" w:ascii="Calibri" w:hAnsi="Calibri" w:cs="Calibri"/>
          <w:bCs/>
          <w:i/>
          <w:iCs/>
          <w:color w:val="000000"/>
          <w:sz w:val="20"/>
          <w:szCs w:val="20"/>
        </w:rPr>
      </w:pPr>
      <w:r>
        <w:rPr>
          <w:rFonts w:hint="default" w:ascii="Calibri" w:hAnsi="Calibri" w:cs="Calibri"/>
          <w:bCs/>
          <w:i/>
          <w:iCs/>
          <w:color w:val="000000"/>
          <w:sz w:val="20"/>
          <w:szCs w:val="20"/>
        </w:rPr>
        <w:t xml:space="preserve">Quando se tratar das contratações diretas realizadas sem a utilização do Sistema de Dispensa Eletrônica, deverão ser utilizadas as disposições a seguir indicadas, no que se refere à forma e aos critérios de seleção do fornecedor. </w:t>
      </w:r>
    </w:p>
    <w:p>
      <w:pPr>
        <w:pStyle w:val="39"/>
        <w:spacing w:before="120" w:after="120" w:line="276" w:lineRule="auto"/>
        <w:ind w:left="785"/>
        <w:jc w:val="both"/>
        <w:rPr>
          <w:rFonts w:hint="default" w:ascii="Calibri" w:hAnsi="Calibri" w:cs="Calibri"/>
          <w:i/>
          <w:color w:val="FF0000"/>
          <w:sz w:val="20"/>
          <w:szCs w:val="20"/>
        </w:rPr>
      </w:pPr>
    </w:p>
    <w:p>
      <w:pPr>
        <w:pStyle w:val="45"/>
        <w:numPr>
          <w:ilvl w:val="1"/>
          <w:numId w:val="34"/>
        </w:numPr>
        <w:spacing w:before="0" w:after="0"/>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dispensa de licitação, com fundamento na hipótese do art. 75, inciso ........., da Lei n.º 14.133/2021 </w:t>
      </w:r>
      <w:r>
        <w:rPr>
          <w:rFonts w:hint="default" w:ascii="Calibri" w:hAnsi="Calibri" w:cs="Calibri"/>
          <w:i/>
          <w:iCs/>
          <w:color w:val="FF0000"/>
          <w:sz w:val="20"/>
          <w:szCs w:val="20"/>
        </w:rPr>
        <w:t xml:space="preserve">(indicar um dos incisos do art. 75, da Lei n.º 14.133/2021, conforme o caso concreto). </w:t>
      </w:r>
    </w:p>
    <w:p>
      <w:pPr>
        <w:pStyle w:val="45"/>
        <w:spacing w:before="0" w:after="0"/>
        <w:rPr>
          <w:rFonts w:hint="default" w:ascii="Calibri" w:hAnsi="Calibri" w:cs="Calibri"/>
          <w:i/>
          <w:color w:val="FF0000"/>
          <w:sz w:val="20"/>
          <w:szCs w:val="20"/>
        </w:rPr>
      </w:pPr>
    </w:p>
    <w:p>
      <w:pPr>
        <w:pStyle w:val="45"/>
        <w:spacing w:before="0" w:after="0"/>
        <w:rPr>
          <w:rFonts w:hint="default" w:ascii="Calibri" w:hAnsi="Calibri" w:cs="Calibri"/>
          <w:b/>
          <w:i/>
          <w:color w:val="FF0000"/>
          <w:sz w:val="20"/>
          <w:szCs w:val="20"/>
          <w:u w:val="single"/>
        </w:rPr>
      </w:pPr>
      <w:r>
        <w:rPr>
          <w:rFonts w:hint="default" w:ascii="Calibri" w:hAnsi="Calibri" w:cs="Calibri"/>
          <w:b/>
          <w:i/>
          <w:color w:val="FF0000"/>
          <w:sz w:val="20"/>
          <w:szCs w:val="20"/>
          <w:u w:val="single"/>
        </w:rPr>
        <w:t xml:space="preserve">OU </w:t>
      </w:r>
    </w:p>
    <w:p>
      <w:pPr>
        <w:pStyle w:val="45"/>
        <w:spacing w:before="0" w:after="0"/>
        <w:rPr>
          <w:rFonts w:hint="default" w:ascii="Calibri" w:hAnsi="Calibri" w:cs="Calibri"/>
          <w:i/>
          <w:color w:val="FF0000"/>
          <w:sz w:val="20"/>
          <w:szCs w:val="20"/>
        </w:rPr>
      </w:pPr>
    </w:p>
    <w:p>
      <w:pPr>
        <w:pStyle w:val="45"/>
        <w:numPr>
          <w:ilvl w:val="1"/>
          <w:numId w:val="35"/>
        </w:numPr>
        <w:spacing w:before="0" w:after="0"/>
        <w:ind w:left="716"/>
        <w:rPr>
          <w:rFonts w:hint="default" w:ascii="Calibri" w:hAnsi="Calibri" w:cs="Calibri"/>
          <w:i/>
          <w:color w:val="FF0000"/>
          <w:sz w:val="20"/>
          <w:szCs w:val="20"/>
        </w:rPr>
      </w:pPr>
      <w:r>
        <w:rPr>
          <w:rFonts w:hint="default" w:ascii="Calibri" w:hAnsi="Calibri" w:cs="Calibri"/>
          <w:i/>
          <w:color w:val="FF0000"/>
          <w:sz w:val="20"/>
          <w:szCs w:val="20"/>
        </w:rPr>
        <w:t xml:space="preserve">O fornecedor será selecionado por meio da realização de procedimento de inexigibilidade de licitação, com fundamento na hipótese do art. 74, ........., da Lei n.º 14.133/2021 </w:t>
      </w:r>
      <w:r>
        <w:rPr>
          <w:rFonts w:hint="default" w:ascii="Calibri" w:hAnsi="Calibri" w:cs="Calibri"/>
          <w:i/>
          <w:iCs/>
          <w:color w:val="FF0000"/>
          <w:sz w:val="20"/>
          <w:szCs w:val="20"/>
        </w:rPr>
        <w:t xml:space="preserve">(indicar o caput ou um dos incisos do art. 74, da Lei n.º 14.133/2021, conforme o caso concreto). </w:t>
      </w:r>
    </w:p>
    <w:p>
      <w:pPr>
        <w:pStyle w:val="45"/>
        <w:spacing w:before="0" w:after="0"/>
        <w:rPr>
          <w:rFonts w:hint="default" w:ascii="Calibri" w:hAnsi="Calibri" w:cs="Calibri"/>
          <w:sz w:val="20"/>
          <w:szCs w:val="20"/>
        </w:rPr>
      </w:pP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 xml:space="preserve">a) SICAF;  </w:t>
      </w:r>
    </w:p>
    <w:p>
      <w:pPr>
        <w:pStyle w:val="39"/>
        <w:spacing w:before="120" w:after="120" w:line="276" w:lineRule="auto"/>
        <w:ind w:left="1134"/>
        <w:jc w:val="both"/>
        <w:rPr>
          <w:rFonts w:hint="default" w:ascii="Calibri" w:hAnsi="Calibri" w:cs="Calibri"/>
          <w:i/>
          <w:iCs/>
          <w:color w:val="FF0000"/>
          <w:sz w:val="20"/>
          <w:szCs w:val="20"/>
          <w:lang w:eastAsia="ar-SA"/>
        </w:rPr>
      </w:pPr>
      <w:r>
        <w:rPr>
          <w:rFonts w:hint="default" w:ascii="Calibri" w:hAnsi="Calibri" w:cs="Calibri"/>
          <w:i/>
          <w:iCs/>
          <w:color w:val="FF0000"/>
          <w:sz w:val="20"/>
          <w:szCs w:val="20"/>
          <w:lang w:eastAsia="ar-SA"/>
        </w:rPr>
        <w:t>b) Cadastro Nacional de Empresas Inidôneas e Suspensas - CEIS, mantido pela Controladoria-Geral da União (</w:t>
      </w:r>
      <w:r>
        <w:rPr>
          <w:rFonts w:hint="default" w:ascii="Calibri" w:hAnsi="Calibri" w:cs="Calibri"/>
        </w:rPr>
        <w:fldChar w:fldCharType="begin"/>
      </w:r>
      <w:r>
        <w:rPr>
          <w:rFonts w:hint="default" w:ascii="Calibri" w:hAnsi="Calibri" w:cs="Calibri"/>
        </w:rPr>
        <w:instrText xml:space="preserve"> HYPERLINK "http://www.portaldatransparencia.gov.br/ceis" </w:instrText>
      </w:r>
      <w:r>
        <w:rPr>
          <w:rFonts w:hint="default" w:ascii="Calibri" w:hAnsi="Calibri" w:cs="Calibri"/>
        </w:rPr>
        <w:fldChar w:fldCharType="separate"/>
      </w:r>
      <w:r>
        <w:rPr>
          <w:rStyle w:val="8"/>
          <w:rFonts w:hint="default" w:ascii="Calibri" w:hAnsi="Calibri" w:cs="Calibri"/>
          <w:i/>
          <w:iCs/>
          <w:color w:val="FF0000"/>
          <w:sz w:val="20"/>
          <w:szCs w:val="20"/>
          <w:lang w:eastAsia="ar-SA"/>
        </w:rPr>
        <w:t>www.portaldatransparencia.gov.br/ceis</w:t>
      </w:r>
      <w:r>
        <w:rPr>
          <w:rStyle w:val="8"/>
          <w:rFonts w:hint="default" w:ascii="Calibri" w:hAnsi="Calibri" w:cs="Calibri"/>
          <w:i/>
          <w:iCs/>
          <w:color w:val="FF0000"/>
          <w:sz w:val="20"/>
          <w:szCs w:val="20"/>
          <w:lang w:eastAsia="ar-SA"/>
        </w:rPr>
        <w:fldChar w:fldCharType="end"/>
      </w:r>
      <w:r>
        <w:rPr>
          <w:rFonts w:hint="default" w:ascii="Calibri" w:hAnsi="Calibri" w:cs="Calibri"/>
          <w:i/>
          <w:iCs/>
          <w:color w:val="FF0000"/>
          <w:sz w:val="20"/>
          <w:szCs w:val="20"/>
          <w:lang w:eastAsia="ar-SA"/>
        </w:rPr>
        <w:t>); e</w:t>
      </w:r>
    </w:p>
    <w:p>
      <w:pPr>
        <w:pStyle w:val="39"/>
        <w:spacing w:before="120" w:after="120" w:line="276" w:lineRule="auto"/>
        <w:ind w:left="1134"/>
        <w:jc w:val="both"/>
        <w:rPr>
          <w:rFonts w:hint="default" w:ascii="Calibri" w:hAnsi="Calibri" w:cs="Calibri"/>
          <w:i/>
          <w:iCs/>
          <w:color w:val="FF0000"/>
          <w:sz w:val="20"/>
          <w:szCs w:val="20"/>
        </w:rPr>
      </w:pPr>
      <w:r>
        <w:rPr>
          <w:rFonts w:hint="default" w:ascii="Calibri" w:hAnsi="Calibri" w:cs="Calibri"/>
          <w:i/>
          <w:iCs/>
          <w:color w:val="FF0000"/>
          <w:sz w:val="20"/>
          <w:szCs w:val="20"/>
          <w:lang w:eastAsia="ar-SA"/>
        </w:rPr>
        <w:t>c) Cadastro Nacional de Empresas Punidas – CNEP, mantido pela Controladoria-Geral da União (</w:t>
      </w:r>
      <w:r>
        <w:rPr>
          <w:rFonts w:hint="default" w:ascii="Calibri" w:hAnsi="Calibri" w:cs="Calibri"/>
        </w:rPr>
        <w:fldChar w:fldCharType="begin"/>
      </w:r>
      <w:r>
        <w:rPr>
          <w:rFonts w:hint="default" w:ascii="Calibri" w:hAnsi="Calibri" w:cs="Calibri"/>
        </w:rPr>
        <w:instrText xml:space="preserve"> HYPERLINK "https://www.portaltransparencia.gov.br/sancoes/cnep" </w:instrText>
      </w:r>
      <w:r>
        <w:rPr>
          <w:rFonts w:hint="default" w:ascii="Calibri" w:hAnsi="Calibri" w:cs="Calibri"/>
        </w:rPr>
        <w:fldChar w:fldCharType="separate"/>
      </w:r>
      <w:r>
        <w:rPr>
          <w:rStyle w:val="8"/>
          <w:rFonts w:hint="default" w:ascii="Calibri" w:hAnsi="Calibri" w:cs="Calibri"/>
          <w:i/>
          <w:iCs/>
          <w:sz w:val="20"/>
          <w:szCs w:val="20"/>
          <w:lang w:eastAsia="ar-SA"/>
        </w:rPr>
        <w:t>https://www.portaltransparencia.gov.br/sancoes/cnep</w:t>
      </w:r>
      <w:r>
        <w:rPr>
          <w:rStyle w:val="8"/>
          <w:rFonts w:hint="default" w:ascii="Calibri" w:hAnsi="Calibri" w:cs="Calibri"/>
          <w:i/>
          <w:iCs/>
          <w:sz w:val="20"/>
          <w:szCs w:val="20"/>
          <w:lang w:eastAsia="ar-SA"/>
        </w:rPr>
        <w:fldChar w:fldCharType="end"/>
      </w:r>
      <w:r>
        <w:rPr>
          <w:rFonts w:hint="default" w:ascii="Calibri" w:hAnsi="Calibri" w:cs="Calibri"/>
          <w:i/>
          <w:iCs/>
          <w:color w:val="FF0000"/>
          <w:sz w:val="20"/>
          <w:szCs w:val="20"/>
          <w:lang w:eastAsia="ar-SA"/>
        </w:rPr>
        <w:t>)</w:t>
      </w:r>
    </w:p>
    <w:p>
      <w:pPr>
        <w:pStyle w:val="47"/>
        <w:spacing w:line="276" w:lineRule="auto"/>
        <w:rPr>
          <w:rFonts w:hint="default" w:ascii="Calibri" w:hAnsi="Calibri" w:cs="Calibri"/>
        </w:rPr>
      </w:pPr>
      <w:r>
        <w:rPr>
          <w:rFonts w:hint="default" w:ascii="Calibri" w:hAnsi="Calibri" w:cs="Calibri"/>
          <w:b/>
          <w:bCs/>
        </w:rPr>
        <w:t>Nota explicativa</w:t>
      </w:r>
      <w:r>
        <w:rPr>
          <w:rFonts w:hint="default" w:ascii="Calibri" w:hAnsi="Calibri" w:cs="Calibri"/>
          <w:b/>
        </w:rPr>
        <w:t>:</w:t>
      </w:r>
      <w:r>
        <w:rPr>
          <w:rFonts w:hint="default" w:ascii="Calibri" w:hAnsi="Calibri" w:cs="Calibri"/>
        </w:rP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A tentativa de burla será verificada por meio dos vínculos societários, linhas de fornecimento similares, dentre outros.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O fornecedor será convocado para manifestação previamente a uma eventual negativa de contratação.</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Caso atendidas as condições para contratação, a habilitação do fornecedor será verificada por meio do SICAF, nos documentos por ele abrangidos.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É dever do fornecedor manter atualizada a respectiva documentação constante do SICAF, ou encaminhar, quando solicitado pela Administração, a respectiva documentação atualizada.</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Não serão aceitos documentos de habilitação com indicação de CNPJ/CPF diferentes, salvo aqueles legalmente permitidos.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pPr>
        <w:pStyle w:val="45"/>
        <w:numPr>
          <w:ilvl w:val="1"/>
          <w:numId w:val="1"/>
        </w:numPr>
        <w:spacing w:before="0" w:after="0"/>
        <w:ind w:left="284" w:firstLine="0"/>
        <w:rPr>
          <w:rFonts w:hint="default" w:ascii="Calibri" w:hAnsi="Calibri" w:cs="Calibri"/>
          <w:i/>
          <w:iCs/>
          <w:color w:val="FF0000"/>
          <w:sz w:val="20"/>
          <w:szCs w:val="20"/>
        </w:rPr>
      </w:pPr>
      <w:r>
        <w:rPr>
          <w:rFonts w:hint="default" w:ascii="Calibri" w:hAnsi="Calibri" w:cs="Calibri"/>
          <w:i/>
          <w:iCs/>
          <w:color w:val="FF0000"/>
          <w:sz w:val="20"/>
          <w:szCs w:val="20"/>
        </w:rPr>
        <w:t>Para fins de contratação, deverá o fornecedor comprovar os seguintes requisitos de habilitação:</w:t>
      </w:r>
    </w:p>
    <w:p>
      <w:pPr>
        <w:numPr>
          <w:ilvl w:val="1"/>
          <w:numId w:val="1"/>
        </w:numPr>
        <w:spacing w:before="120" w:after="120" w:line="276" w:lineRule="auto"/>
        <w:ind w:left="425" w:firstLine="0"/>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Habilitação Jurídica</w:t>
      </w:r>
      <w:r>
        <w:rPr>
          <w:rFonts w:hint="default" w:ascii="Calibri" w:hAnsi="Calibri" w:cs="Calibri"/>
          <w:b/>
          <w:bCs/>
          <w:i/>
          <w:iCs/>
          <w:color w:val="FF0000"/>
          <w:sz w:val="20"/>
          <w:szCs w:val="20"/>
        </w:rPr>
        <w:t xml:space="preserve">: </w:t>
      </w:r>
    </w:p>
    <w:p>
      <w:pPr>
        <w:pStyle w:val="42"/>
        <w:spacing w:after="120"/>
        <w:rPr>
          <w:rFonts w:hint="default" w:ascii="Calibri" w:hAnsi="Calibri" w:cs="Calibri"/>
          <w:szCs w:val="20"/>
        </w:rPr>
      </w:pPr>
      <w:r>
        <w:rPr>
          <w:rFonts w:hint="default" w:ascii="Calibri" w:hAnsi="Calibri" w:cs="Calibri"/>
          <w:b/>
          <w:szCs w:val="20"/>
        </w:rPr>
        <w:t>Nota Explicativa:</w:t>
      </w:r>
      <w:r>
        <w:rPr>
          <w:rFonts w:hint="default" w:ascii="Calibri" w:hAnsi="Calibri" w:cs="Calibri"/>
          <w:szCs w:val="20"/>
        </w:rPr>
        <w:t xml:space="preserve"> Os requisitos de habilitação jurídica deverão ser exigidos em conformidade com a natureza do futuro contratado (empresário individual, sociedade empresária, cooperativa etc.), razão pela qual deverá ser adotada, a depender do caso, apenas a redação correspondente, dentre aquelas constantes a seguir: </w:t>
      </w:r>
    </w:p>
    <w:p>
      <w:pPr>
        <w:numPr>
          <w:ilvl w:val="2"/>
          <w:numId w:val="1"/>
        </w:numPr>
        <w:spacing w:before="120" w:after="120" w:line="276" w:lineRule="auto"/>
        <w:jc w:val="both"/>
        <w:rPr>
          <w:rFonts w:hint="default" w:ascii="Calibri" w:hAnsi="Calibri" w:cs="Calibri"/>
          <w:sz w:val="20"/>
          <w:szCs w:val="20"/>
        </w:rPr>
      </w:pPr>
      <w:r>
        <w:rPr>
          <w:rFonts w:hint="default" w:ascii="Calibri" w:hAnsi="Calibri" w:cs="Calibri"/>
          <w:b/>
          <w:i/>
          <w:color w:val="FF0000"/>
          <w:sz w:val="20"/>
          <w:szCs w:val="20"/>
        </w:rPr>
        <w:t>Pessoa física:</w:t>
      </w:r>
      <w:r>
        <w:rPr>
          <w:rFonts w:hint="default" w:ascii="Calibri" w:hAnsi="Calibri" w:cs="Calibri"/>
          <w:i/>
          <w:color w:val="FF0000"/>
          <w:sz w:val="20"/>
          <w:szCs w:val="20"/>
        </w:rPr>
        <w:t xml:space="preserve"> cédula de identidade (RG) ou documento equivalente que, por força de lei, tenha validade para fins de identificação em todo o território nacional;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xml:space="preserve"> A Instrução Normativa SEGES/ME nº 116, de 21 de dezembro de 2021, estabelece procedimentos para a participação de pessoa física nas contratações públicas regidas pela Lei nº 14.133/2021,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 xml:space="preserve">A IN SEGES/ME nº 116/2021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rFonts w:hint="default" w:ascii="Calibri" w:hAnsi="Calibri" w:cs="Calibri"/>
          <w:b/>
          <w:i/>
          <w:iCs/>
          <w:color w:val="000000"/>
          <w:sz w:val="20"/>
          <w:szCs w:val="20"/>
        </w:rPr>
        <w:t>capital social mínimo</w:t>
      </w:r>
      <w:r>
        <w:rPr>
          <w:rFonts w:hint="default" w:ascii="Calibri" w:hAnsi="Calibri" w:cs="Calibri"/>
          <w:i/>
          <w:iCs/>
          <w:color w:val="000000"/>
          <w:sz w:val="20"/>
          <w:szCs w:val="20"/>
        </w:rPr>
        <w:t xml:space="preserve"> e </w:t>
      </w:r>
      <w:r>
        <w:rPr>
          <w:rFonts w:hint="default" w:ascii="Calibri" w:hAnsi="Calibri" w:cs="Calibri"/>
          <w:b/>
          <w:i/>
          <w:iCs/>
          <w:color w:val="000000"/>
          <w:sz w:val="20"/>
          <w:szCs w:val="20"/>
        </w:rPr>
        <w:t>estrutura mínima</w:t>
      </w:r>
      <w:r>
        <w:rPr>
          <w:rFonts w:hint="default" w:ascii="Calibri" w:hAnsi="Calibri" w:cs="Calibri"/>
          <w:i/>
          <w:iCs/>
          <w:color w:val="000000"/>
          <w:sz w:val="20"/>
          <w:szCs w:val="20"/>
        </w:rPr>
        <w:t xml:space="preserve">, com equipamentos, instalações e equipe de profissionais ou corpo técnico para a execução do objeto </w:t>
      </w:r>
      <w:r>
        <w:rPr>
          <w:rFonts w:hint="default" w:ascii="Calibri" w:hAnsi="Calibri" w:cs="Calibri"/>
          <w:b/>
          <w:i/>
          <w:iCs/>
          <w:color w:val="000000"/>
          <w:sz w:val="20"/>
          <w:szCs w:val="20"/>
        </w:rPr>
        <w:t>incompatíveis com a natureza profissional da pessoa física</w:t>
      </w:r>
      <w:r>
        <w:rPr>
          <w:rFonts w:hint="default" w:ascii="Calibri" w:hAnsi="Calibri" w:cs="Calibri"/>
          <w:i/>
          <w:iCs/>
          <w:color w:val="000000"/>
          <w:sz w:val="20"/>
          <w:szCs w:val="20"/>
        </w:rPr>
        <w:t xml:space="preserve">, conforme </w:t>
      </w:r>
      <w:r>
        <w:rPr>
          <w:rFonts w:hint="default" w:ascii="Calibri" w:hAnsi="Calibri" w:cs="Calibri"/>
          <w:b/>
          <w:i/>
          <w:iCs/>
          <w:color w:val="000000"/>
          <w:sz w:val="20"/>
          <w:szCs w:val="20"/>
        </w:rPr>
        <w:t>demonstrado em estudo técnico preliminar</w:t>
      </w:r>
      <w:r>
        <w:rPr>
          <w:rFonts w:hint="default" w:ascii="Calibri" w:hAnsi="Calibri" w:cs="Calibri"/>
          <w:i/>
          <w:iCs/>
          <w:color w:val="000000"/>
          <w:sz w:val="20"/>
          <w:szCs w:val="20"/>
        </w:rPr>
        <w:t xml:space="preserve">”. Portanto, a possibilidade, ou não, de contratação de pessoas físicas deverá ser objeto de prévia análise e manifestação técnica por parte do órgão contratante, na fase de planejamento da contratação.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p>
    <w:p>
      <w:pPr>
        <w:numPr>
          <w:ilvl w:val="2"/>
          <w:numId w:val="15"/>
        </w:numPr>
        <w:spacing w:before="120" w:after="120" w:line="276" w:lineRule="auto"/>
        <w:jc w:val="both"/>
        <w:rPr>
          <w:rFonts w:hint="default" w:ascii="Calibri" w:hAnsi="Calibri" w:cs="Calibri"/>
          <w:i/>
          <w:iCs/>
          <w:color w:val="FF0000"/>
          <w:sz w:val="20"/>
          <w:szCs w:val="20"/>
        </w:rPr>
      </w:pPr>
      <w:r>
        <w:rPr>
          <w:rFonts w:hint="default" w:ascii="Calibri" w:hAnsi="Calibri" w:cs="Calibri"/>
          <w:b/>
          <w:i/>
          <w:iCs/>
          <w:color w:val="FF0000"/>
          <w:sz w:val="20"/>
          <w:szCs w:val="20"/>
        </w:rPr>
        <w:t>Empresário individual</w:t>
      </w:r>
      <w:r>
        <w:rPr>
          <w:rFonts w:hint="default" w:ascii="Calibri" w:hAnsi="Calibri" w:cs="Calibri"/>
          <w:i/>
          <w:iCs/>
          <w:color w:val="FF0000"/>
          <w:sz w:val="20"/>
          <w:szCs w:val="20"/>
        </w:rPr>
        <w:t xml:space="preserve">: inscrição no Registro Público de Empresas Mercantis, a cargo da Junta Comercial da respectiva sede;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15"/>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Microempreendedor Individual - MEI</w:t>
      </w:r>
      <w:r>
        <w:rPr>
          <w:rFonts w:hint="default" w:ascii="Calibri" w:hAnsi="Calibri" w:cs="Calibri"/>
          <w:i/>
          <w:color w:val="FF0000"/>
          <w:sz w:val="20"/>
          <w:szCs w:val="20"/>
        </w:rPr>
        <w:t xml:space="preserve">: Certificado da Condição de </w:t>
      </w:r>
      <w:r>
        <w:rPr>
          <w:rFonts w:hint="default" w:ascii="Calibri" w:hAnsi="Calibri" w:cs="Calibri"/>
          <w:i/>
          <w:iCs/>
          <w:color w:val="FF0000"/>
          <w:sz w:val="20"/>
          <w:szCs w:val="20"/>
        </w:rPr>
        <w:t>Microempreendedor</w:t>
      </w:r>
      <w:r>
        <w:rPr>
          <w:rFonts w:hint="default" w:ascii="Calibri" w:hAnsi="Calibri" w:cs="Calibri"/>
          <w:i/>
          <w:color w:val="FF0000"/>
          <w:sz w:val="20"/>
          <w:szCs w:val="20"/>
        </w:rPr>
        <w:t xml:space="preserve"> Individual - CCMEI, cuja aceitação ficará condicionada à verificação da autenticidade no sítio </w:t>
      </w:r>
      <w:r>
        <w:rPr>
          <w:rFonts w:hint="default" w:ascii="Calibri" w:hAnsi="Calibri" w:cs="Calibri"/>
        </w:rPr>
        <w:fldChar w:fldCharType="begin"/>
      </w:r>
      <w:r>
        <w:rPr>
          <w:rFonts w:hint="default" w:ascii="Calibri" w:hAnsi="Calibri" w:cs="Calibri"/>
        </w:rPr>
        <w:instrText xml:space="preserve"> HYPERLINK "http://www.portaldoempreendedor.gov.br/" \h </w:instrText>
      </w:r>
      <w:r>
        <w:rPr>
          <w:rFonts w:hint="default" w:ascii="Calibri" w:hAnsi="Calibri" w:cs="Calibri"/>
        </w:rPr>
        <w:fldChar w:fldCharType="separate"/>
      </w:r>
      <w:r>
        <w:rPr>
          <w:rFonts w:hint="default" w:ascii="Calibri" w:hAnsi="Calibri" w:cs="Calibri"/>
          <w:i/>
          <w:color w:val="FF0000"/>
          <w:sz w:val="20"/>
          <w:szCs w:val="20"/>
          <w:u w:val="single"/>
        </w:rPr>
        <w:t>www.portaldoempreendedor.gov.br</w:t>
      </w:r>
      <w:r>
        <w:rPr>
          <w:rFonts w:hint="default" w:ascii="Calibri" w:hAnsi="Calibri" w:cs="Calibri"/>
          <w:i/>
          <w:color w:val="FF0000"/>
          <w:sz w:val="20"/>
          <w:szCs w:val="20"/>
          <w:u w:val="single"/>
        </w:rPr>
        <w:fldChar w:fldCharType="end"/>
      </w:r>
      <w:r>
        <w:rPr>
          <w:rFonts w:hint="default" w:ascii="Calibri" w:hAnsi="Calibri" w:cs="Calibri"/>
          <w:i/>
          <w:color w:val="FF0000"/>
          <w:sz w:val="20"/>
          <w:szCs w:val="20"/>
        </w:rPr>
        <w:t xml:space="preserve">;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15"/>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empresária, sociedade limitada unipessoal – SLU ou sociedade identificada como empresa individual de responsabilidade limitada - EIRELI</w:t>
      </w:r>
      <w:r>
        <w:rPr>
          <w:rFonts w:hint="default" w:ascii="Calibri" w:hAnsi="Calibri" w:cs="Calibri"/>
          <w:i/>
          <w:color w:val="FF0000"/>
          <w:sz w:val="20"/>
          <w:szCs w:val="20"/>
        </w:rPr>
        <w:t>: inscrição do ato constitutivo, estatuto ou contrato social no Registro Público de Empresas Mercantis, a cargo da Junta Comercial da respectiva sede, acompanhada de documento comprobatório de seus administradores;</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000000"/>
          <w:sz w:val="20"/>
          <w:szCs w:val="20"/>
        </w:rPr>
      </w:pPr>
      <w:r>
        <w:rPr>
          <w:rFonts w:hint="default" w:ascii="Calibri" w:hAnsi="Calibri" w:cs="Calibri"/>
          <w:b/>
          <w:i/>
          <w:iCs/>
          <w:color w:val="000000"/>
          <w:sz w:val="20"/>
          <w:szCs w:val="20"/>
        </w:rPr>
        <w:t>Nota Explicativa</w:t>
      </w:r>
      <w:r>
        <w:rPr>
          <w:rFonts w:hint="default" w:ascii="Calibri" w:hAnsi="Calibri" w:cs="Calibri"/>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Pr>
          <w:rFonts w:hint="default" w:ascii="Calibri" w:hAnsi="Calibri" w:cs="Calibri"/>
          <w:sz w:val="20"/>
          <w:szCs w:val="20"/>
        </w:rPr>
        <w:t xml:space="preserve"> </w:t>
      </w:r>
      <w:r>
        <w:rPr>
          <w:rFonts w:hint="default" w:ascii="Calibri" w:hAnsi="Calibri" w:cs="Calibri"/>
          <w:i/>
          <w:iCs/>
          <w:color w:val="000000"/>
          <w:sz w:val="20"/>
          <w:szCs w:val="20"/>
        </w:rPr>
        <w:t xml:space="preserve">inciso VI do art. 44 e do art. 980-A e seus parágrafos, todos do Código Civil, que tratavam da   EIRELI, conforme </w:t>
      </w:r>
      <w:r>
        <w:rPr>
          <w:rFonts w:hint="default" w:ascii="Calibri" w:hAnsi="Calibri" w:cs="Calibri"/>
          <w:i/>
          <w:iCs/>
          <w:sz w:val="20"/>
          <w:szCs w:val="20"/>
        </w:rPr>
        <w:t>Ofício Circular</w:t>
      </w:r>
      <w:r>
        <w:rPr>
          <w:rFonts w:hint="default" w:ascii="Calibri" w:hAnsi="Calibri" w:cs="Calibri"/>
          <w:i/>
          <w:iCs/>
          <w:color w:val="000000"/>
          <w:sz w:val="20"/>
          <w:szCs w:val="20"/>
        </w:rPr>
        <w:t xml:space="preserve"> SEI nº 3510/2021/ME, 9 de setembro de 2021, disponível no endereço eletrônico: https://www.gov.br/economia/pt-br/assuntos/drei/legislacao/oficios-circulares-drei. Posteriormente, a Medida Provisória n.º 1.085, de 2021, revogou expressamente as disposições sobre EIRELI constantes do Código Civil, porém, no momento da edição deste modelo, referida Medida Provisória se encontra pendente de conversão em lei.</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sz w:val="20"/>
          <w:szCs w:val="20"/>
        </w:rPr>
      </w:pPr>
      <w:r>
        <w:rPr>
          <w:rFonts w:hint="default" w:ascii="Calibri" w:hAnsi="Calibri" w:cs="Calibri"/>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15"/>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empresária estrangeira com atuação permanente no País</w:t>
      </w:r>
      <w:r>
        <w:rPr>
          <w:rFonts w:hint="default" w:ascii="Calibri" w:hAnsi="Calibri" w:cs="Calibri"/>
          <w:i/>
          <w:color w:val="FF0000"/>
          <w:sz w:val="20"/>
          <w:szCs w:val="20"/>
        </w:rPr>
        <w:t>: decreto de autorização para funcionamento no Brasil;</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36"/>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Sociedade simples</w:t>
      </w:r>
      <w:r>
        <w:rPr>
          <w:rFonts w:hint="default" w:ascii="Calibri" w:hAnsi="Calibri" w:cs="Calibri"/>
          <w:i/>
          <w:color w:val="FF0000"/>
          <w:sz w:val="20"/>
          <w:szCs w:val="20"/>
        </w:rPr>
        <w:t>: inscrição do ato constitutivo no Registro Civil de Pessoas Jurídicas do local de sua sede, acompanhada de documento comprobatório de seus administradores;</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numPr>
          <w:ilvl w:val="2"/>
          <w:numId w:val="37"/>
        </w:numPr>
        <w:spacing w:before="120" w:after="120" w:line="276" w:lineRule="auto"/>
        <w:jc w:val="both"/>
        <w:rPr>
          <w:rFonts w:hint="default" w:ascii="Calibri" w:hAnsi="Calibri" w:cs="Calibri"/>
          <w:i/>
          <w:color w:val="FF0000"/>
          <w:sz w:val="20"/>
          <w:szCs w:val="20"/>
        </w:rPr>
      </w:pPr>
      <w:r>
        <w:rPr>
          <w:rFonts w:hint="default" w:ascii="Calibri" w:hAnsi="Calibri" w:cs="Calibri"/>
          <w:b/>
          <w:i/>
          <w:color w:val="FF0000"/>
          <w:sz w:val="20"/>
          <w:szCs w:val="20"/>
        </w:rPr>
        <w:t>Filial, sucursal ou agência</w:t>
      </w:r>
      <w:r>
        <w:rPr>
          <w:rFonts w:hint="default" w:ascii="Calibri" w:hAnsi="Calibri" w:cs="Calibri"/>
          <w:i/>
          <w:color w:val="FF0000"/>
          <w:sz w:val="20"/>
          <w:szCs w:val="20"/>
        </w:rPr>
        <w:t xml:space="preserve"> </w:t>
      </w:r>
      <w:r>
        <w:rPr>
          <w:rFonts w:hint="default" w:ascii="Calibri" w:hAnsi="Calibri" w:cs="Calibri"/>
          <w:b/>
          <w:i/>
          <w:color w:val="FF0000"/>
          <w:sz w:val="20"/>
          <w:szCs w:val="20"/>
        </w:rPr>
        <w:t>de sociedade simples ou empresária</w:t>
      </w:r>
      <w:r>
        <w:rPr>
          <w:rFonts w:hint="default" w:ascii="Calibri" w:hAnsi="Calibri" w:cs="Calibri"/>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u w:val="single"/>
        </w:rPr>
      </w:pPr>
      <w:r>
        <w:rPr>
          <w:rFonts w:hint="default" w:ascii="Calibri" w:hAnsi="Calibri" w:cs="Calibri"/>
          <w:b/>
          <w:i/>
          <w:iCs/>
          <w:color w:val="FF0000"/>
          <w:sz w:val="20"/>
          <w:szCs w:val="20"/>
          <w:u w:val="single"/>
        </w:rPr>
        <w:t xml:space="preserve">OU </w:t>
      </w:r>
    </w:p>
    <w:p>
      <w:pPr>
        <w:pStyle w:val="39"/>
        <w:tabs>
          <w:tab w:val="left" w:pos="1440"/>
        </w:tabs>
        <w:suppressAutoHyphens/>
        <w:snapToGrid w:val="0"/>
        <w:spacing w:before="120" w:after="120" w:line="276" w:lineRule="auto"/>
        <w:ind w:left="2290"/>
        <w:jc w:val="both"/>
        <w:rPr>
          <w:rFonts w:hint="default" w:ascii="Calibri" w:hAnsi="Calibri" w:cs="Calibri"/>
          <w:b/>
          <w:i/>
          <w:iCs/>
          <w:color w:val="FF0000"/>
          <w:sz w:val="20"/>
          <w:szCs w:val="20"/>
        </w:rPr>
      </w:pPr>
    </w:p>
    <w:p>
      <w:pPr>
        <w:numPr>
          <w:ilvl w:val="2"/>
          <w:numId w:val="37"/>
        </w:numPr>
        <w:spacing w:before="120" w:after="120" w:line="276" w:lineRule="auto"/>
        <w:jc w:val="both"/>
        <w:rPr>
          <w:rFonts w:hint="default" w:ascii="Calibri" w:hAnsi="Calibri" w:cs="Calibri"/>
          <w:i/>
          <w:color w:val="FF0000"/>
          <w:sz w:val="20"/>
          <w:szCs w:val="20"/>
        </w:rPr>
      </w:pPr>
      <w:r>
        <w:rPr>
          <w:rFonts w:hint="default" w:ascii="Calibri" w:hAnsi="Calibri" w:cs="Calibri"/>
          <w:b/>
          <w:i/>
          <w:iCs/>
          <w:color w:val="FF0000"/>
          <w:sz w:val="20"/>
          <w:szCs w:val="20"/>
        </w:rPr>
        <w:t xml:space="preserve">Ato </w:t>
      </w:r>
      <w:r>
        <w:rPr>
          <w:rFonts w:hint="default" w:ascii="Calibri" w:hAnsi="Calibri" w:cs="Calibri"/>
          <w:b/>
          <w:i/>
          <w:color w:val="FF0000"/>
          <w:sz w:val="20"/>
          <w:szCs w:val="20"/>
        </w:rPr>
        <w:t>de</w:t>
      </w:r>
      <w:r>
        <w:rPr>
          <w:rFonts w:hint="default" w:ascii="Calibri" w:hAnsi="Calibri" w:cs="Calibri"/>
          <w:b/>
          <w:i/>
          <w:iCs/>
          <w:color w:val="FF0000"/>
          <w:sz w:val="20"/>
          <w:szCs w:val="20"/>
        </w:rPr>
        <w:t xml:space="preserve"> autorização</w:t>
      </w:r>
      <w:r>
        <w:rPr>
          <w:rFonts w:hint="default" w:ascii="Calibri" w:hAnsi="Calibri" w:cs="Calibri"/>
          <w:i/>
          <w:iCs/>
          <w:color w:val="FF0000"/>
          <w:sz w:val="20"/>
          <w:szCs w:val="20"/>
        </w:rPr>
        <w:t xml:space="preserve"> para o exercício da atividade de ............ (especificar a atividade contratada sujeita à </w:t>
      </w:r>
      <w:r>
        <w:rPr>
          <w:rFonts w:hint="default" w:ascii="Calibri" w:hAnsi="Calibri" w:cs="Calibri"/>
          <w:i/>
          <w:color w:val="FF0000"/>
          <w:sz w:val="20"/>
          <w:szCs w:val="20"/>
        </w:rPr>
        <w:t>autorização</w:t>
      </w:r>
      <w:r>
        <w:rPr>
          <w:rFonts w:hint="default" w:ascii="Calibri" w:hAnsi="Calibri" w:cs="Calibri"/>
          <w:i/>
          <w:iCs/>
          <w:color w:val="FF0000"/>
          <w:sz w:val="20"/>
          <w:szCs w:val="20"/>
        </w:rPr>
        <w:t>), expedido por ....... (especificar o órgão competente) nos termos do art. ..... da (Lei/Decreto) n° ........</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bCs/>
          <w:color w:val="000000"/>
          <w:sz w:val="20"/>
          <w:szCs w:val="20"/>
        </w:rPr>
      </w:pPr>
      <w:r>
        <w:rPr>
          <w:rFonts w:hint="default" w:ascii="Calibri" w:hAnsi="Calibri" w:cs="Calibri"/>
          <w:b/>
          <w:bCs/>
          <w:i/>
          <w:iCs/>
          <w:color w:val="000000"/>
          <w:sz w:val="20"/>
          <w:szCs w:val="20"/>
        </w:rPr>
        <w:t>Nota explicativa:</w:t>
      </w:r>
      <w:r>
        <w:rPr>
          <w:rFonts w:hint="default" w:ascii="Calibri" w:hAnsi="Calibri" w:cs="Calibri"/>
          <w:i/>
          <w:iCs/>
          <w:color w:val="000000"/>
          <w:sz w:val="20"/>
          <w:szCs w:val="20"/>
        </w:rPr>
        <w:t xml:space="preserve"> O último subitem tem como fundamento a parte final do disposto no art. 66 da Lei n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Pr>
          <w:rFonts w:hint="default" w:ascii="Calibri" w:hAnsi="Calibri" w:cs="Calibri"/>
          <w:bCs/>
          <w:color w:val="000000"/>
          <w:sz w:val="20"/>
          <w:szCs w:val="20"/>
        </w:rPr>
        <w:t>de fogo, explosivo, munição, dentre outros.</w:t>
      </w:r>
    </w:p>
    <w:p>
      <w:pPr>
        <w:numPr>
          <w:ilvl w:val="2"/>
          <w:numId w:val="37"/>
        </w:numPr>
        <w:spacing w:before="120" w:after="120" w:line="276" w:lineRule="auto"/>
        <w:jc w:val="both"/>
        <w:rPr>
          <w:rFonts w:hint="default" w:ascii="Calibri" w:hAnsi="Calibri" w:cs="Calibri"/>
          <w:i/>
          <w:color w:val="FF0000"/>
          <w:sz w:val="20"/>
          <w:szCs w:val="20"/>
        </w:rPr>
      </w:pPr>
      <w:r>
        <w:rPr>
          <w:rFonts w:hint="default" w:ascii="Calibri" w:hAnsi="Calibri" w:cs="Calibri"/>
          <w:bCs/>
          <w:i/>
          <w:iCs/>
          <w:color w:val="FF0000"/>
          <w:sz w:val="20"/>
          <w:szCs w:val="20"/>
        </w:rPr>
        <w:t xml:space="preserve">Os </w:t>
      </w:r>
      <w:r>
        <w:rPr>
          <w:rFonts w:hint="default" w:ascii="Calibri" w:hAnsi="Calibri" w:cs="Calibri"/>
          <w:i/>
          <w:iCs/>
          <w:color w:val="FF0000"/>
          <w:sz w:val="20"/>
          <w:szCs w:val="20"/>
        </w:rPr>
        <w:t>documentos</w:t>
      </w:r>
      <w:r>
        <w:rPr>
          <w:rFonts w:hint="default" w:ascii="Calibri" w:hAnsi="Calibri" w:cs="Calibri"/>
          <w:bCs/>
          <w:i/>
          <w:iCs/>
          <w:color w:val="FF0000"/>
          <w:sz w:val="20"/>
          <w:szCs w:val="20"/>
        </w:rPr>
        <w:t xml:space="preserve"> apresentados deverão estar acompanhados de todas as alterações ou da consolidação respectiva.</w:t>
      </w:r>
    </w:p>
    <w:p>
      <w:pPr>
        <w:numPr>
          <w:ilvl w:val="1"/>
          <w:numId w:val="1"/>
        </w:numPr>
        <w:spacing w:before="120" w:after="120" w:line="276" w:lineRule="auto"/>
        <w:ind w:left="425" w:firstLine="0"/>
        <w:jc w:val="both"/>
        <w:rPr>
          <w:rFonts w:hint="default" w:ascii="Calibri" w:hAnsi="Calibri" w:cs="Calibri"/>
          <w:b/>
          <w:i/>
          <w:iCs/>
          <w:color w:val="FF0000"/>
          <w:sz w:val="20"/>
          <w:szCs w:val="20"/>
        </w:rPr>
      </w:pPr>
      <w:r>
        <w:rPr>
          <w:rFonts w:hint="default" w:ascii="Calibri" w:hAnsi="Calibri" w:cs="Calibri"/>
          <w:b/>
          <w:i/>
          <w:iCs/>
          <w:color w:val="FF0000"/>
          <w:sz w:val="20"/>
          <w:szCs w:val="20"/>
        </w:rPr>
        <w:t>Habilitações fiscal, social e trabalhista:</w:t>
      </w:r>
    </w:p>
    <w:p>
      <w:pPr>
        <w:numPr>
          <w:ilvl w:val="2"/>
          <w:numId w:val="37"/>
        </w:numPr>
        <w:spacing w:before="120" w:after="120" w:line="276" w:lineRule="auto"/>
        <w:jc w:val="both"/>
        <w:rPr>
          <w:rFonts w:hint="default" w:ascii="Calibri" w:hAnsi="Calibri" w:cs="Calibri"/>
          <w:sz w:val="20"/>
          <w:szCs w:val="20"/>
        </w:rPr>
      </w:pPr>
      <w:r>
        <w:rPr>
          <w:rFonts w:hint="default" w:ascii="Calibri" w:hAnsi="Calibri" w:cs="Calibri"/>
          <w:i/>
          <w:iCs/>
          <w:color w:val="FF0000"/>
          <w:sz w:val="20"/>
          <w:szCs w:val="20"/>
        </w:rPr>
        <w:t>prova de inscrição no Cadastro de Pessoas Físicas (CPF);</w:t>
      </w:r>
    </w:p>
    <w:p>
      <w:pPr>
        <w:pStyle w:val="39"/>
        <w:tabs>
          <w:tab w:val="left" w:pos="1440"/>
        </w:tabs>
        <w:suppressAutoHyphens/>
        <w:snapToGrid w:val="0"/>
        <w:spacing w:before="120" w:after="120" w:line="276" w:lineRule="auto"/>
        <w:ind w:left="2290"/>
        <w:jc w:val="both"/>
        <w:rPr>
          <w:rFonts w:hint="default" w:ascii="Calibri" w:hAnsi="Calibri" w:cs="Calibri"/>
          <w:sz w:val="20"/>
          <w:szCs w:val="20"/>
        </w:rPr>
      </w:pPr>
      <w:r>
        <w:rPr>
          <w:rFonts w:hint="default" w:ascii="Calibri" w:hAnsi="Calibri" w:cs="Calibri"/>
          <w:b/>
          <w:i/>
          <w:iCs/>
          <w:color w:val="FF0000"/>
          <w:sz w:val="20"/>
          <w:szCs w:val="20"/>
          <w:u w:val="single"/>
        </w:rPr>
        <w:t xml:space="preserve">OU </w:t>
      </w:r>
    </w:p>
    <w:p>
      <w:pPr>
        <w:numPr>
          <w:ilvl w:val="2"/>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w:t>
      </w:r>
      <w:r>
        <w:rPr>
          <w:rFonts w:hint="default" w:ascii="Calibri" w:hAnsi="Calibri" w:cs="Calibri"/>
          <w:i/>
          <w:iCs/>
          <w:color w:val="FF0000"/>
          <w:sz w:val="20"/>
          <w:szCs w:val="20"/>
        </w:rPr>
        <w:t>de</w:t>
      </w:r>
      <w:r>
        <w:rPr>
          <w:rFonts w:hint="default" w:ascii="Calibri" w:hAnsi="Calibri" w:cs="Calibri"/>
          <w:i/>
          <w:color w:val="FF0000"/>
          <w:sz w:val="20"/>
          <w:szCs w:val="20"/>
        </w:rPr>
        <w:t xml:space="preserve"> inscrição no Cadastro Nacional da Pessoa Jurídica (CNPJ);</w:t>
      </w:r>
    </w:p>
    <w:p>
      <w:pPr>
        <w:numPr>
          <w:ilvl w:val="2"/>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numPr>
          <w:ilvl w:val="2"/>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regularidade com o Fundo de Garantia do Tempo de Serviço (FGTS);</w:t>
      </w:r>
    </w:p>
    <w:p>
      <w:pPr>
        <w:numPr>
          <w:ilvl w:val="2"/>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p>
    <w:p>
      <w:pPr>
        <w:numPr>
          <w:ilvl w:val="2"/>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numPr>
          <w:ilvl w:val="2"/>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inscrição no cadastro de contribuintes municipal ou distrital, se houver, relativo ao domicílio ou sede do fornecedor, pertinente ao seu ramo de atividade e compatível com o objeto contratual; </w:t>
      </w:r>
    </w:p>
    <w:p>
      <w:pPr>
        <w:numPr>
          <w:ilvl w:val="3"/>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rPr>
          <w:rFonts w:hint="default" w:ascii="Calibri" w:hAnsi="Calibri" w:cs="Calibri"/>
          <w:i/>
          <w:iCs/>
          <w:color w:val="7030A0"/>
          <w:sz w:val="20"/>
          <w:szCs w:val="20"/>
        </w:rPr>
      </w:pPr>
      <w:r>
        <w:rPr>
          <w:rFonts w:hint="default" w:ascii="Calibri" w:hAnsi="Calibri" w:cs="Calibri"/>
          <w:b/>
          <w:i/>
          <w:iCs/>
          <w:sz w:val="20"/>
          <w:szCs w:val="20"/>
        </w:rPr>
        <w:t xml:space="preserve">Nota Explicativa: </w:t>
      </w:r>
      <w:r>
        <w:rPr>
          <w:rFonts w:hint="default" w:ascii="Calibri" w:hAnsi="Calibri" w:cs="Calibri"/>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pPr>
        <w:numPr>
          <w:ilvl w:val="2"/>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 xml:space="preserve">prova de regularidade com a Fazenda Municipal ou Distrital do domicílio ou sede do fornecedor, relativa à atividade em cujo exercício contrata ou concorre; </w:t>
      </w:r>
    </w:p>
    <w:p>
      <w:pPr>
        <w:numPr>
          <w:ilvl w:val="3"/>
          <w:numId w:val="38"/>
        </w:numPr>
        <w:spacing w:before="120" w:after="120" w:line="276" w:lineRule="auto"/>
        <w:jc w:val="both"/>
        <w:rPr>
          <w:rFonts w:hint="default" w:ascii="Calibri" w:hAnsi="Calibri" w:cs="Calibri"/>
          <w:i/>
          <w:color w:val="FF0000"/>
          <w:sz w:val="20"/>
          <w:szCs w:val="20"/>
        </w:rPr>
      </w:pPr>
      <w:r>
        <w:rPr>
          <w:rFonts w:hint="default" w:ascii="Calibri" w:hAnsi="Calibri" w:cs="Calibri"/>
          <w:i/>
          <w:color w:val="FF0000"/>
          <w:sz w:val="20"/>
          <w:szCs w:val="20"/>
        </w:rPr>
        <w:t>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pPr>
        <w:pStyle w:val="42"/>
        <w:spacing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bCs/>
          <w:szCs w:val="20"/>
        </w:rPr>
        <w:t xml:space="preserve"> O artigo 193 do CTN preceitua que a </w:t>
      </w:r>
      <w:r>
        <w:rPr>
          <w:rFonts w:hint="default" w:ascii="Calibri" w:hAnsi="Calibri" w:cs="Calibri"/>
          <w:szCs w:val="20"/>
        </w:rPr>
        <w:t xml:space="preserve">prova da quitação de todos os tributos devidos dar-se-á no âmbito da </w:t>
      </w:r>
      <w:r>
        <w:rPr>
          <w:rFonts w:hint="default" w:ascii="Calibri" w:hAnsi="Calibri" w:cs="Calibri"/>
          <w:bCs/>
          <w:szCs w:val="20"/>
        </w:rPr>
        <w:t xml:space="preserve">Fazenda Pública </w:t>
      </w:r>
      <w:r>
        <w:rPr>
          <w:rFonts w:hint="default" w:ascii="Calibri" w:hAnsi="Calibri" w:cs="Calibri"/>
          <w:b/>
          <w:szCs w:val="20"/>
        </w:rPr>
        <w:t>interessada</w:t>
      </w:r>
      <w:r>
        <w:rPr>
          <w:rFonts w:hint="default" w:ascii="Calibri" w:hAnsi="Calibri" w:cs="Calibri"/>
          <w:bCs/>
          <w:szCs w:val="20"/>
        </w:rPr>
        <w:t>, “relativos à atividade em cujo exercício contrata ou concorre”. Nessa mesma linha, o art. 68, inciso II, da Lei n.º 14.133/20201 estabelece a exigência de “inscrição no cadastro de contribuintes estadual e/ou municipal, se houver, relativo ao domicílio ou sede do fornecedor,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Pr>
          <w:rFonts w:hint="default" w:ascii="Calibri" w:hAnsi="Calibri" w:cs="Calibri"/>
          <w:szCs w:val="20"/>
        </w:rPr>
        <w:t xml:space="preserve"> e o </w:t>
      </w:r>
      <w:r>
        <w:rPr>
          <w:rFonts w:hint="default" w:ascii="Calibri" w:hAnsi="Calibri" w:cs="Calibri"/>
          <w:bCs/>
          <w:szCs w:val="20"/>
        </w:rPr>
        <w:t>âmbito da tributação sobre ele incidente:  tratando-se de serviços em geral,</w:t>
      </w:r>
      <w:r>
        <w:rPr>
          <w:rFonts w:hint="default" w:ascii="Calibri" w:hAnsi="Calibri" w:cs="Calibri"/>
        </w:rPr>
        <w:t xml:space="preserve"> </w:t>
      </w:r>
      <w:r>
        <w:rPr>
          <w:rFonts w:hint="default" w:ascii="Calibri" w:hAnsi="Calibri" w:cs="Calibri"/>
          <w:bCs/>
          <w:szCs w:val="20"/>
        </w:rPr>
        <w:t>como no caso desta minuta, incide o ISS, tributo de competência municipal, ao passo que, para aquisições, incide o ICMS, tributo de competência estadual.</w:t>
      </w:r>
    </w:p>
    <w:p>
      <w:pPr>
        <w:pStyle w:val="42"/>
        <w:spacing w:line="276" w:lineRule="auto"/>
        <w:rPr>
          <w:rFonts w:hint="default" w:ascii="Calibri" w:hAnsi="Calibri" w:cs="Calibri"/>
          <w:szCs w:val="20"/>
        </w:rPr>
      </w:pPr>
      <w:r>
        <w:rPr>
          <w:rFonts w:hint="default" w:ascii="Calibri" w:hAnsi="Calibri" w:cs="Calibri"/>
          <w:b/>
          <w:bCs/>
          <w:szCs w:val="20"/>
        </w:rPr>
        <w:t>Nota Explicativa:</w:t>
      </w:r>
      <w:r>
        <w:rPr>
          <w:rFonts w:hint="default" w:ascii="Calibri" w:hAnsi="Calibri" w:cs="Calibri"/>
          <w:szCs w:val="20"/>
        </w:rPr>
        <w:t xml:space="preserve"> Remover as previsões acima caso o fornecedor não possua natureza de sociedade cooperativa.</w:t>
      </w:r>
    </w:p>
    <w:p>
      <w:pPr>
        <w:rPr>
          <w:rFonts w:hint="default" w:ascii="Calibri" w:hAnsi="Calibri" w:cs="Calibri"/>
          <w:sz w:val="20"/>
          <w:szCs w:val="20"/>
        </w:rPr>
      </w:pPr>
    </w:p>
    <w:p>
      <w:pPr>
        <w:pStyle w:val="42"/>
        <w:spacing w:line="276" w:lineRule="auto"/>
        <w:rPr>
          <w:rFonts w:hint="default" w:ascii="Calibri" w:hAnsi="Calibri" w:cs="Calibri"/>
          <w:color w:val="auto"/>
        </w:rPr>
      </w:pPr>
      <w:r>
        <w:rPr>
          <w:rFonts w:hint="default" w:ascii="Calibri" w:hAnsi="Calibri" w:cs="Calibri"/>
          <w:b/>
          <w:bCs/>
          <w:color w:val="auto"/>
        </w:rPr>
        <w:t xml:space="preserve">Nota Explicativa: </w:t>
      </w:r>
      <w:r>
        <w:rPr>
          <w:rFonts w:hint="default" w:ascii="Calibri" w:hAnsi="Calibri" w:cs="Calibri"/>
          <w:color w:val="auto"/>
        </w:rPr>
        <w:t>Foram incluídas neste Termo de Referência as previsões referentes à habilitação jurídica, fiscal,</w:t>
      </w:r>
      <w:r>
        <w:rPr>
          <w:rFonts w:hint="default" w:ascii="Calibri" w:hAnsi="Calibri" w:cs="Calibri"/>
        </w:rPr>
        <w:t xml:space="preserve"> </w:t>
      </w:r>
      <w:r>
        <w:rPr>
          <w:rFonts w:hint="default" w:ascii="Calibri" w:hAnsi="Calibri" w:cs="Calibri"/>
          <w:color w:val="auto"/>
        </w:rPr>
        <w:t xml:space="preserve">social e trabalhista, haja vista que serão os requisitos mais usualmente fiscalizados durante a execução contratual, em geral. Como se trata de contratação por dispensa ou inexigibilidade de licitação, em que o contratado é escolhido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pPr>
        <w:pStyle w:val="42"/>
        <w:spacing w:line="276" w:lineRule="auto"/>
        <w:rPr>
          <w:rFonts w:hint="default" w:ascii="Calibri" w:hAnsi="Calibri" w:cs="Calibri"/>
        </w:rPr>
      </w:pPr>
      <w:r>
        <w:rPr>
          <w:rFonts w:hint="default" w:ascii="Calibri" w:hAnsi="Calibri" w:cs="Calibri"/>
          <w:bCs/>
          <w:color w:val="auto"/>
          <w:szCs w:val="20"/>
        </w:rPr>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 e/ou do modelo de Aviso de Dispensa Eletrônica (habilitação econômico-financeira) constante do sítio eletrônico da AGU.</w:t>
      </w:r>
    </w:p>
    <w:p>
      <w:pPr>
        <w:pStyle w:val="43"/>
        <w:numPr>
          <w:ilvl w:val="0"/>
          <w:numId w:val="0"/>
        </w:numPr>
        <w:spacing w:before="0" w:after="0"/>
        <w:ind w:left="360"/>
        <w:rPr>
          <w:rFonts w:hint="default" w:ascii="Calibri" w:hAnsi="Calibri" w:cs="Calibri"/>
          <w:sz w:val="20"/>
          <w:szCs w:val="20"/>
        </w:rPr>
      </w:pPr>
    </w:p>
    <w:p>
      <w:pPr>
        <w:pStyle w:val="43"/>
        <w:spacing w:before="0" w:after="0"/>
        <w:rPr>
          <w:rFonts w:hint="default" w:ascii="Calibri" w:hAnsi="Calibri" w:cs="Calibri"/>
          <w:sz w:val="20"/>
          <w:szCs w:val="20"/>
        </w:rPr>
      </w:pPr>
      <w:r>
        <w:rPr>
          <w:rFonts w:hint="default" w:ascii="Calibri" w:hAnsi="Calibri" w:cs="Calibri"/>
          <w:sz w:val="20"/>
          <w:szCs w:val="20"/>
        </w:rPr>
        <w:t xml:space="preserve">ADEQUAÇÃO ORÇAMENTÁRIA </w:t>
      </w:r>
    </w:p>
    <w:p>
      <w:pPr>
        <w:pStyle w:val="39"/>
        <w:numPr>
          <w:ilvl w:val="1"/>
          <w:numId w:val="39"/>
        </w:numPr>
        <w:spacing w:after="0" w:line="276" w:lineRule="auto"/>
        <w:jc w:val="both"/>
        <w:rPr>
          <w:rFonts w:hint="default" w:ascii="Calibri" w:hAnsi="Calibri" w:cs="Calibri"/>
          <w:i/>
          <w:iCs/>
          <w:color w:val="FF0000"/>
          <w:sz w:val="20"/>
          <w:szCs w:val="20"/>
        </w:rPr>
      </w:pPr>
      <w:r>
        <w:rPr>
          <w:rFonts w:hint="default" w:ascii="Calibri" w:hAnsi="Calibri" w:cs="Calibri"/>
          <w:sz w:val="20"/>
          <w:szCs w:val="20"/>
        </w:rPr>
        <w:t xml:space="preserve">As despesas decorrentes da presente contratação correrão à conta de recursos específicos consignados no Orçamento </w:t>
      </w:r>
      <w:r>
        <w:rPr>
          <w:rFonts w:hint="default" w:ascii="Calibri" w:hAnsi="Calibri" w:cs="Calibri"/>
          <w:sz w:val="20"/>
          <w:szCs w:val="20"/>
          <w:lang w:val="pt-BR"/>
        </w:rPr>
        <w:t>do município</w:t>
      </w:r>
      <w:r>
        <w:rPr>
          <w:rFonts w:hint="default" w:ascii="Calibri" w:hAnsi="Calibri" w:cs="Calibri"/>
          <w:sz w:val="20"/>
          <w:szCs w:val="20"/>
        </w:rPr>
        <w:t>.</w:t>
      </w:r>
    </w:p>
    <w:p>
      <w:pPr>
        <w:pStyle w:val="39"/>
        <w:spacing w:after="0" w:line="276" w:lineRule="auto"/>
        <w:ind w:left="716"/>
        <w:jc w:val="both"/>
        <w:rPr>
          <w:rFonts w:hint="default" w:ascii="Calibri" w:hAnsi="Calibri" w:cs="Calibri"/>
          <w:i/>
          <w:iCs/>
          <w:color w:val="FF0000"/>
          <w:sz w:val="20"/>
          <w:szCs w:val="20"/>
        </w:rPr>
      </w:pPr>
    </w:p>
    <w:p>
      <w:pPr>
        <w:pStyle w:val="39"/>
        <w:numPr>
          <w:ilvl w:val="2"/>
          <w:numId w:val="1"/>
        </w:numPr>
        <w:spacing w:after="0" w:line="276" w:lineRule="auto"/>
        <w:jc w:val="both"/>
        <w:rPr>
          <w:rFonts w:hint="default" w:ascii="Calibri" w:hAnsi="Calibri" w:cs="Calibri"/>
          <w:iCs/>
          <w:sz w:val="20"/>
          <w:szCs w:val="20"/>
        </w:rPr>
      </w:pPr>
      <w:r>
        <w:rPr>
          <w:rFonts w:hint="default" w:ascii="Calibri" w:hAnsi="Calibri" w:cs="Calibri"/>
          <w:iCs/>
          <w:sz w:val="20"/>
          <w:szCs w:val="20"/>
        </w:rPr>
        <w:t>A contratação será atendida pela seguinte dotação:</w:t>
      </w:r>
    </w:p>
    <w:p>
      <w:pPr>
        <w:spacing w:after="0" w:line="276" w:lineRule="auto"/>
        <w:ind w:left="1133" w:firstLine="283"/>
        <w:jc w:val="both"/>
        <w:rPr>
          <w:rFonts w:hint="default" w:ascii="Calibri" w:hAnsi="Calibri" w:cs="Calibri"/>
          <w:iCs/>
          <w:sz w:val="20"/>
          <w:szCs w:val="20"/>
        </w:rPr>
      </w:pP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Gestão/Unidade: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Fonte de Recursos: [...];</w:t>
      </w:r>
    </w:p>
    <w:p>
      <w:pPr>
        <w:spacing w:after="0" w:line="276" w:lineRule="auto"/>
        <w:ind w:left="1133" w:firstLine="283"/>
        <w:jc w:val="both"/>
        <w:rPr>
          <w:rFonts w:hint="default" w:ascii="Calibri" w:hAnsi="Calibri" w:cs="Calibri"/>
          <w:i/>
          <w:iCs/>
          <w:color w:val="FF0000"/>
          <w:sz w:val="20"/>
          <w:szCs w:val="20"/>
        </w:rPr>
      </w:pPr>
      <w:r>
        <w:rPr>
          <w:rFonts w:hint="default" w:ascii="Calibri" w:hAnsi="Calibri" w:cs="Calibri"/>
          <w:i/>
          <w:iCs/>
          <w:color w:val="FF0000"/>
          <w:sz w:val="20"/>
          <w:szCs w:val="20"/>
        </w:rPr>
        <w:t>Programa de Trabalho: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Elemento de Despesa: [...];</w:t>
      </w:r>
    </w:p>
    <w:p>
      <w:pPr>
        <w:spacing w:after="0" w:line="276" w:lineRule="auto"/>
        <w:ind w:left="850" w:firstLine="566"/>
        <w:jc w:val="both"/>
        <w:rPr>
          <w:rFonts w:hint="default" w:ascii="Calibri" w:hAnsi="Calibri" w:cs="Calibri"/>
          <w:i/>
          <w:iCs/>
          <w:color w:val="FF0000"/>
          <w:sz w:val="20"/>
          <w:szCs w:val="20"/>
        </w:rPr>
      </w:pPr>
      <w:r>
        <w:rPr>
          <w:rFonts w:hint="default" w:ascii="Calibri" w:hAnsi="Calibri" w:cs="Calibri"/>
          <w:i/>
          <w:iCs/>
          <w:color w:val="FF0000"/>
          <w:sz w:val="20"/>
          <w:szCs w:val="20"/>
        </w:rPr>
        <w:t>Plano Interno: [...];</w:t>
      </w:r>
    </w:p>
    <w:p>
      <w:pPr>
        <w:spacing w:after="0" w:line="276" w:lineRule="auto"/>
        <w:jc w:val="both"/>
        <w:rPr>
          <w:rFonts w:hint="default" w:ascii="Calibri" w:hAnsi="Calibri" w:cs="Calibri"/>
          <w:bCs/>
          <w:color w:val="FF0000"/>
          <w:sz w:val="20"/>
          <w:szCs w:val="20"/>
        </w:rPr>
      </w:pPr>
    </w:p>
    <w:p>
      <w:pPr>
        <w:pStyle w:val="39"/>
        <w:numPr>
          <w:ilvl w:val="1"/>
          <w:numId w:val="1"/>
        </w:numPr>
        <w:spacing w:after="0" w:line="276" w:lineRule="auto"/>
        <w:jc w:val="both"/>
        <w:rPr>
          <w:rFonts w:hint="default" w:ascii="Calibri" w:hAnsi="Calibri" w:cs="Calibri"/>
          <w:bCs/>
          <w:color w:val="FF0000"/>
          <w:sz w:val="20"/>
          <w:szCs w:val="20"/>
        </w:rPr>
      </w:pPr>
      <w:r>
        <w:rPr>
          <w:rFonts w:hint="default" w:ascii="Calibri" w:hAnsi="Calibri" w:cs="Calibri"/>
          <w:i/>
          <w:iCs/>
          <w:color w:val="FF0000"/>
          <w:sz w:val="20"/>
          <w:szCs w:val="20"/>
        </w:rPr>
        <w:t>A dotação relativa aos exercícios financeiros subsequentes será indicada após aprovação da Lei Orçamentária respectiva e liberação dos créditos correspondentes, mediante apostilamento.</w:t>
      </w:r>
    </w:p>
    <w:bookmarkEnd w:id="0"/>
    <w:p>
      <w:pPr>
        <w:overflowPunct w:val="0"/>
        <w:rPr>
          <w:rFonts w:hint="default" w:ascii="Calibri" w:hAnsi="Calibri" w:cs="Calibri"/>
          <w:b/>
          <w:color w:val="000000" w:themeColor="text1"/>
          <w:sz w:val="23"/>
          <w:szCs w:val="23"/>
          <w:u w:val="single"/>
          <w14:textFill>
            <w14:solidFill>
              <w14:schemeClr w14:val="tx1"/>
            </w14:solidFill>
          </w14:textFill>
        </w:rPr>
      </w:pPr>
      <w:r>
        <w:rPr>
          <w:rFonts w:hint="default" w:ascii="Calibri" w:hAnsi="Calibri" w:cs="Calibri"/>
          <w:b/>
          <w:bCs/>
          <w:i/>
          <w:iCs/>
          <w:sz w:val="20"/>
          <w:szCs w:val="20"/>
          <w:lang w:eastAsia="pt-BR"/>
        </w:rPr>
        <w:t xml:space="preserve">Nota Explicativa: </w:t>
      </w:r>
      <w:r>
        <w:rPr>
          <w:rFonts w:hint="default" w:ascii="Calibri" w:hAnsi="Calibri" w:cs="Calibri"/>
          <w:i/>
          <w:iCs/>
          <w:sz w:val="20"/>
          <w:szCs w:val="20"/>
          <w:lang w:eastAsia="pt-BR"/>
        </w:rPr>
        <w:t>O art. 106, II, da Lei nº 14.133/21 prevê para contratações de serviços continuados que a “</w:t>
      </w:r>
      <w:r>
        <w:rPr>
          <w:rFonts w:hint="default" w:ascii="Calibri" w:hAnsi="Calibri" w:cs="Calibri"/>
          <w:i/>
          <w:iCs/>
          <w:color w:val="000000"/>
          <w:sz w:val="20"/>
          <w:szCs w:val="20"/>
        </w:rPr>
        <w:t>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 da Lei n.º 14.133/2021.</w:t>
      </w:r>
      <w:r>
        <w:rPr>
          <w:rFonts w:hint="default" w:ascii="Calibri" w:hAnsi="Calibri" w:cs="Calibri"/>
          <w:b/>
          <w:color w:val="000000" w:themeColor="text1"/>
          <w:sz w:val="23"/>
          <w:szCs w:val="23"/>
          <w:u w:val="single"/>
          <w14:textFill>
            <w14:solidFill>
              <w14:schemeClr w14:val="tx1"/>
            </w14:solidFill>
          </w14:textFill>
        </w:rPr>
        <w:t xml:space="preserve">      </w:t>
      </w:r>
    </w:p>
    <w:p>
      <w:pPr>
        <w:overflowPunct w:val="0"/>
        <w:rPr>
          <w:rFonts w:hint="default" w:ascii="Calibri" w:hAnsi="Calibri" w:cs="Calibri"/>
          <w:b/>
          <w:color w:val="000000" w:themeColor="text1"/>
          <w:sz w:val="23"/>
          <w:szCs w:val="23"/>
          <w:u w:val="single"/>
          <w14:textFill>
            <w14:solidFill>
              <w14:schemeClr w14:val="tx1"/>
            </w14:solidFill>
          </w14:textFill>
        </w:rPr>
      </w:pPr>
    </w:p>
    <w:p>
      <w:pPr>
        <w:pStyle w:val="43"/>
        <w:spacing w:before="0" w:after="0"/>
        <w:rPr>
          <w:rFonts w:hint="default"/>
        </w:rPr>
      </w:pPr>
      <w:r>
        <w:rPr>
          <w:rFonts w:hint="default" w:ascii="Calibri" w:hAnsi="Calibri" w:cs="Calibri"/>
          <w:sz w:val="20"/>
          <w:szCs w:val="20"/>
          <w:lang w:val="pt-BR" w:eastAsia="en-US"/>
        </w:rPr>
        <w:t>DA LIQUIDAÇÃO E DO PAGAMENTO</w:t>
      </w:r>
      <w:r>
        <w:rPr>
          <w:rFonts w:hint="default" w:ascii="Calibri" w:hAnsi="Calibri" w:cs="Calibri"/>
          <w:sz w:val="20"/>
          <w:szCs w:val="20"/>
          <w:lang w:eastAsia="en-US"/>
        </w:rPr>
        <w:t xml:space="preserve">  </w:t>
      </w:r>
      <w:r>
        <w:rPr>
          <w:rFonts w:hint="default"/>
        </w:rPr>
        <w:t xml:space="preserve">       </w:t>
      </w:r>
    </w:p>
    <w:p>
      <w:pPr>
        <w:rPr>
          <w:rFonts w:hint="default"/>
        </w:rPr>
      </w:pPr>
    </w:p>
    <w:p>
      <w:pPr>
        <w:jc w:val="both"/>
        <w:rPr>
          <w:rFonts w:hint="default"/>
          <w:sz w:val="20"/>
          <w:szCs w:val="20"/>
          <w:lang w:val="pt-BR"/>
        </w:rPr>
      </w:pPr>
      <w:r>
        <w:rPr>
          <w:rFonts w:hint="default"/>
          <w:sz w:val="20"/>
          <w:szCs w:val="20"/>
          <w:lang w:val="pt-BR"/>
        </w:rPr>
        <w:t>13.1 A liquidação será realizada pela Secretaria Municipal de Finanças, Planejamento, Desenvolvimento Econômico e Gestão, a partir do cumprimento das obrigações dispostas neste Termo de Referência, em observância ao Decreto Municipal nº 2.493, de 07 de novembro de 2023.</w:t>
      </w:r>
    </w:p>
    <w:p>
      <w:pPr>
        <w:jc w:val="both"/>
        <w:rPr>
          <w:rFonts w:hint="default"/>
          <w:sz w:val="20"/>
          <w:szCs w:val="20"/>
          <w:lang w:val="pt-BR"/>
        </w:rPr>
      </w:pPr>
    </w:p>
    <w:p>
      <w:pPr>
        <w:jc w:val="both"/>
        <w:rPr>
          <w:rFonts w:hint="default"/>
          <w:sz w:val="20"/>
          <w:szCs w:val="20"/>
          <w:lang w:val="pt-BR"/>
        </w:rPr>
      </w:pPr>
      <w:bookmarkStart w:id="21" w:name="_GoBack"/>
      <w:bookmarkEnd w:id="21"/>
      <w:r>
        <w:rPr>
          <w:rFonts w:hint="default"/>
          <w:sz w:val="20"/>
          <w:szCs w:val="20"/>
          <w:lang w:val="pt-BR"/>
        </w:rPr>
        <w:t>13.2 O pagamento será efetuado conforme estabelece o Decreto Municipal nº 2.493, de 07 de novembro de 2023, desde que as Certidões listadas abaixo estejam dentro da validade.</w:t>
      </w:r>
    </w:p>
    <w:p>
      <w:pPr>
        <w:jc w:val="both"/>
        <w:rPr>
          <w:rFonts w:hint="default"/>
          <w:sz w:val="20"/>
          <w:szCs w:val="20"/>
          <w:lang w:val="pt-BR"/>
        </w:rPr>
      </w:pPr>
    </w:p>
    <w:p>
      <w:pPr>
        <w:jc w:val="both"/>
        <w:rPr>
          <w:rFonts w:hint="default"/>
          <w:sz w:val="20"/>
          <w:szCs w:val="20"/>
          <w:lang w:val="pt-BR"/>
        </w:rPr>
      </w:pPr>
      <w:r>
        <w:rPr>
          <w:rFonts w:hint="default"/>
          <w:sz w:val="20"/>
          <w:szCs w:val="20"/>
          <w:lang w:val="pt-BR"/>
        </w:rPr>
        <w:t>Negativa de Débitos Trabalhistas; Fazenda Federal- abrangem as Contribuições Sociais; FGTS; PGE- Referente Dívida Ativa Estadual; Municipal- referente ao ISS e Dívida Ativa; Estadual -CND- referente ao ICMS.</w:t>
      </w:r>
    </w:p>
    <w:p>
      <w:pPr>
        <w:jc w:val="both"/>
        <w:rPr>
          <w:rFonts w:hint="default"/>
          <w:sz w:val="20"/>
          <w:szCs w:val="20"/>
          <w:lang w:val="pt-BR"/>
        </w:rPr>
      </w:pPr>
    </w:p>
    <w:p>
      <w:pPr>
        <w:jc w:val="both"/>
        <w:rPr>
          <w:rFonts w:hint="default"/>
          <w:sz w:val="20"/>
          <w:szCs w:val="20"/>
          <w:lang w:val="pt-BR"/>
        </w:rPr>
      </w:pPr>
      <w:r>
        <w:rPr>
          <w:rFonts w:hint="default"/>
          <w:sz w:val="20"/>
          <w:szCs w:val="20"/>
          <w:lang w:val="pt-BR"/>
        </w:rPr>
        <w:t>13.3 A Nota Fiscal deverá conter a identificação do Banco, número da agência e Conta Corrente, para que possibilite o CONTRATANTE efetuar o pagamento do valor devido;</w:t>
      </w:r>
    </w:p>
    <w:p>
      <w:pPr>
        <w:jc w:val="both"/>
        <w:rPr>
          <w:rFonts w:hint="default"/>
          <w:sz w:val="20"/>
          <w:szCs w:val="20"/>
          <w:lang w:val="pt-BR"/>
        </w:rPr>
      </w:pPr>
    </w:p>
    <w:p>
      <w:pPr>
        <w:jc w:val="both"/>
        <w:rPr>
          <w:rFonts w:hint="default"/>
          <w:sz w:val="20"/>
          <w:szCs w:val="20"/>
          <w:lang w:val="pt-BR"/>
        </w:rPr>
      </w:pPr>
      <w:r>
        <w:rPr>
          <w:rFonts w:hint="default"/>
          <w:sz w:val="20"/>
          <w:szCs w:val="20"/>
          <w:lang w:val="pt-BR"/>
        </w:rPr>
        <w:t>13.4 Na ocorrência de rejeição da(s) Nota(s) Fical(s), motivada por erro ou incorreções, o prazo para pagamento estipulado acima passará a ser contado a partir da data de sua reapresentação.</w:t>
      </w:r>
    </w:p>
    <w:p>
      <w:pPr>
        <w:overflowPunct w:val="0"/>
        <w:rPr>
          <w:rFonts w:hint="default" w:ascii="Calibri" w:hAnsi="Calibri" w:cs="Calibri"/>
          <w:b/>
          <w:color w:val="000000" w:themeColor="text1"/>
          <w:sz w:val="23"/>
          <w:szCs w:val="23"/>
          <w:u w:val="single"/>
          <w14:textFill>
            <w14:solidFill>
              <w14:schemeClr w14:val="tx1"/>
            </w14:solidFill>
          </w14:textFill>
        </w:rPr>
      </w:pPr>
      <w:r>
        <w:rPr>
          <w:rFonts w:hint="default" w:ascii="Calibri" w:hAnsi="Calibri" w:cs="Calibri"/>
          <w:b/>
          <w:color w:val="000000" w:themeColor="text1"/>
          <w:sz w:val="23"/>
          <w:szCs w:val="23"/>
          <w:u w:val="single"/>
          <w14:textFill>
            <w14:solidFill>
              <w14:schemeClr w14:val="tx1"/>
            </w14:solidFill>
          </w14:textFill>
        </w:rPr>
        <w:t xml:space="preserve"> </w:t>
      </w:r>
    </w:p>
    <w:p>
      <w:pPr>
        <w:overflowPunct w:val="0"/>
        <w:rPr>
          <w:rFonts w:hint="default" w:ascii="Calibri" w:hAnsi="Calibri" w:cs="Calibri"/>
          <w:b/>
          <w:color w:val="000000" w:themeColor="text1"/>
          <w:sz w:val="23"/>
          <w:szCs w:val="23"/>
          <w:u w:val="single"/>
          <w14:textFill>
            <w14:solidFill>
              <w14:schemeClr w14:val="tx1"/>
            </w14:solidFill>
          </w14:textFill>
        </w:rPr>
      </w:pPr>
      <w:r>
        <w:rPr>
          <w:rFonts w:hint="default" w:ascii="Calibri" w:hAnsi="Calibri" w:cs="Calibri"/>
          <w:b/>
          <w:color w:val="000000" w:themeColor="text1"/>
          <w:sz w:val="23"/>
          <w:szCs w:val="23"/>
          <w:u w:val="single"/>
          <w14:textFill>
            <w14:solidFill>
              <w14:schemeClr w14:val="tx1"/>
            </w14:solidFill>
          </w14:textFill>
        </w:rPr>
        <w:t xml:space="preserve">                                                                                                                                                                     </w:t>
      </w:r>
    </w:p>
    <w:p>
      <w:pPr>
        <w:pStyle w:val="43"/>
        <w:spacing w:before="0" w:after="0"/>
        <w:rPr>
          <w:rFonts w:hint="default" w:ascii="Calibri" w:hAnsi="Calibri" w:cs="Calibri"/>
          <w:sz w:val="20"/>
          <w:szCs w:val="20"/>
          <w:lang w:eastAsia="en-US"/>
        </w:rPr>
      </w:pPr>
      <w:r>
        <w:rPr>
          <w:rFonts w:hint="default" w:ascii="Calibri" w:hAnsi="Calibri" w:cs="Calibri"/>
          <w:sz w:val="20"/>
          <w:szCs w:val="20"/>
          <w:lang w:eastAsia="en-US"/>
        </w:rPr>
        <w:t>DAS DISPOSIÇÕES GERAIS</w:t>
      </w:r>
    </w:p>
    <w:p>
      <w:pPr>
        <w:widowControl w:val="0"/>
        <w:overflowPunct w:val="0"/>
        <w:jc w:val="both"/>
        <w:rPr>
          <w:rFonts w:hint="default" w:ascii="Calibri" w:hAnsi="Calibri" w:cs="Calibri"/>
          <w:bCs/>
          <w:sz w:val="20"/>
          <w:szCs w:val="20"/>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14.1 </w:t>
      </w:r>
      <w:r>
        <w:rPr>
          <w:rFonts w:hint="default" w:ascii="Calibri" w:hAnsi="Calibri" w:cs="Calibri"/>
          <w:color w:val="000000" w:themeColor="text1"/>
          <w:sz w:val="20"/>
          <w:szCs w:val="20"/>
          <w:lang w:eastAsia="en-US"/>
          <w14:textFill>
            <w14:solidFill>
              <w14:schemeClr w14:val="tx1"/>
            </w14:solidFill>
          </w14:textFill>
        </w:rPr>
        <w:t xml:space="preserve">Fica desde já determinado que a proposta apresentada pelo ganhador do certame deverá ser acompanhada pela planilha de custos e formação de preços. </w:t>
      </w: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p>
    <w:p>
      <w:pPr>
        <w:pStyle w:val="39"/>
        <w:numPr>
          <w:ilvl w:val="0"/>
          <w:numId w:val="0"/>
        </w:numPr>
        <w:overflowPunct w:val="0"/>
        <w:ind w:leftChars="0"/>
        <w:jc w:val="both"/>
        <w:rPr>
          <w:rFonts w:hint="default" w:ascii="Calibri" w:hAnsi="Calibri" w:cs="Calibri"/>
          <w:color w:val="000000" w:themeColor="text1"/>
          <w:sz w:val="20"/>
          <w:szCs w:val="20"/>
          <w:lang w:eastAsia="en-US"/>
          <w14:textFill>
            <w14:solidFill>
              <w14:schemeClr w14:val="tx1"/>
            </w14:solidFill>
          </w14:textFill>
        </w:rPr>
      </w:pPr>
      <w:r>
        <w:rPr>
          <w:rFonts w:hint="default" w:ascii="Calibri" w:hAnsi="Calibri" w:cs="Calibri"/>
          <w:color w:val="000000" w:themeColor="text1"/>
          <w:sz w:val="20"/>
          <w:szCs w:val="20"/>
          <w:lang w:val="pt-BR" w:eastAsia="en-US"/>
          <w14:textFill>
            <w14:solidFill>
              <w14:schemeClr w14:val="tx1"/>
            </w14:solidFill>
          </w14:textFill>
        </w:rPr>
        <w:t xml:space="preserve">14.2 </w:t>
      </w:r>
      <w:r>
        <w:rPr>
          <w:rFonts w:hint="default" w:ascii="Calibri" w:hAnsi="Calibri" w:cs="Calibri"/>
          <w:color w:val="000000" w:themeColor="text1"/>
          <w:sz w:val="20"/>
          <w:szCs w:val="20"/>
          <w:lang w:eastAsia="en-US"/>
          <w14:textFill>
            <w14:solidFill>
              <w14:schemeClr w14:val="tx1"/>
            </w14:solidFill>
          </w14:textFill>
        </w:rPr>
        <w:t>Termo de referência elaborado por esta subscritora auxiliada pela equipe técnica de manutenção desta Secretaria Municipal de XXXXXXXXXX.</w:t>
      </w:r>
    </w:p>
    <w:p>
      <w:pPr>
        <w:widowControl w:val="0"/>
        <w:overflowPunct w:val="0"/>
        <w:ind w:firstLine="851"/>
        <w:jc w:val="both"/>
        <w:rPr>
          <w:rFonts w:hint="default" w:ascii="Calibri" w:hAnsi="Calibri" w:cs="Calibri"/>
          <w:b/>
          <w:bCs/>
          <w:sz w:val="20"/>
          <w:szCs w:val="20"/>
        </w:rPr>
      </w:pPr>
    </w:p>
    <w:p>
      <w:pPr>
        <w:widowControl w:val="0"/>
        <w:overflowPunct w:val="0"/>
        <w:ind w:left="41"/>
        <w:jc w:val="center"/>
        <w:rPr>
          <w:rFonts w:hint="default" w:ascii="Calibri" w:hAnsi="Calibri" w:cs="Calibri"/>
          <w:bCs/>
          <w:sz w:val="20"/>
          <w:szCs w:val="20"/>
        </w:rPr>
      </w:pPr>
      <w:r>
        <w:rPr>
          <w:rFonts w:hint="default" w:ascii="Calibri" w:hAnsi="Calibri" w:cs="Calibri"/>
          <w:bCs/>
          <w:sz w:val="20"/>
          <w:szCs w:val="20"/>
        </w:rPr>
        <w:t>Nova Friburgo/RJ, ___ de ___________ de 20___.</w:t>
      </w:r>
    </w:p>
    <w:p>
      <w:pPr>
        <w:widowControl w:val="0"/>
        <w:overflowPunct w:val="0"/>
        <w:ind w:left="41"/>
        <w:rPr>
          <w:rFonts w:hint="default" w:ascii="Calibri" w:hAnsi="Calibri" w:cs="Calibri"/>
          <w:bCs/>
          <w:sz w:val="20"/>
          <w:szCs w:val="20"/>
        </w:rPr>
      </w:pPr>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GESTOR:</w:t>
            </w:r>
          </w:p>
        </w:tc>
        <w:tc>
          <w:tcPr>
            <w:tcW w:w="4678" w:type="dxa"/>
            <w:tcBorders>
              <w:bottom w:val="nil"/>
            </w:tcBorders>
            <w:shd w:val="clear" w:color="auto" w:fill="D7D7D7" w:themeFill="background1" w:themeFillShade="D8"/>
          </w:tcPr>
          <w:p>
            <w:pPr>
              <w:jc w:val="center"/>
              <w:rPr>
                <w:rStyle w:val="33"/>
                <w:rFonts w:hint="default" w:ascii="Calibri" w:hAnsi="Calibri" w:cs="Calibri"/>
                <w:b/>
                <w:sz w:val="20"/>
                <w:szCs w:val="20"/>
              </w:rPr>
            </w:pPr>
            <w:r>
              <w:rPr>
                <w:rStyle w:val="33"/>
                <w:rFonts w:hint="default" w:ascii="Calibri" w:hAnsi="Calibri" w:cs="Calibri"/>
                <w:b/>
                <w:sz w:val="20"/>
                <w:szCs w:val="20"/>
              </w:rPr>
              <w:t>APOIO TÉCNICO: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c>
          <w:tcPr>
            <w:tcW w:w="4678" w:type="dxa"/>
            <w:tcBorders>
              <w:top w:val="nil"/>
              <w:bottom w:val="nil"/>
            </w:tcBorders>
          </w:tcPr>
          <w:p>
            <w:pPr>
              <w:jc w:val="center"/>
              <w:rPr>
                <w:rStyle w:val="33"/>
                <w:rFonts w:hint="default" w:ascii="Calibri" w:hAnsi="Calibri" w:cs="Calibri"/>
                <w:sz w:val="20"/>
                <w:szCs w:val="20"/>
              </w:rPr>
            </w:pPr>
            <w:r>
              <w:rPr>
                <w:rStyle w:val="33"/>
                <w:rFonts w:hint="default" w:ascii="Calibri" w:hAnsi="Calibri" w:cs="Calibri"/>
                <w:sz w:val="20"/>
                <w:szCs w:val="20"/>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c>
          <w:tcPr>
            <w:tcW w:w="4678" w:type="dxa"/>
            <w:tcBorders>
              <w:top w:val="nil"/>
              <w:bottom w:val="nil"/>
            </w:tcBorders>
          </w:tcPr>
          <w:p>
            <w:pPr>
              <w:jc w:val="center"/>
              <w:rPr>
                <w:rStyle w:val="33"/>
                <w:rFonts w:hint="default" w:ascii="Calibri" w:hAnsi="Calibri" w:cs="Calibri"/>
                <w:b/>
                <w:sz w:val="20"/>
                <w:szCs w:val="20"/>
              </w:rPr>
            </w:pPr>
            <w:r>
              <w:rPr>
                <w:rStyle w:val="33"/>
                <w:rFonts w:hint="default" w:ascii="Calibri" w:hAnsi="Calibri" w:cs="Calibri"/>
                <w:b/>
                <w:sz w:val="20"/>
                <w:szCs w:val="20"/>
              </w:rPr>
              <w:t>&lt;Nome&gt;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single" w:color="auto" w:sz="4" w:space="0"/>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c>
          <w:tcPr>
            <w:tcW w:w="4678" w:type="dxa"/>
            <w:tcBorders>
              <w:top w:val="nil"/>
              <w:bottom w:val="single" w:color="auto" w:sz="4" w:space="0"/>
            </w:tcBorders>
          </w:tcPr>
          <w:p>
            <w:pPr>
              <w:jc w:val="center"/>
              <w:rPr>
                <w:rStyle w:val="33"/>
                <w:rFonts w:hint="default" w:ascii="Calibri" w:hAnsi="Calibri" w:cs="Calibri"/>
                <w:sz w:val="20"/>
                <w:szCs w:val="20"/>
              </w:rPr>
            </w:pPr>
            <w:r>
              <w:rPr>
                <w:rStyle w:val="33"/>
                <w:rFonts w:hint="default" w:ascii="Calibri" w:hAnsi="Calibri" w:cs="Calibri"/>
                <w:sz w:val="20"/>
                <w:szCs w:val="20"/>
              </w:rPr>
              <w:t>Matr.: &lt;Nº matrícula&gt;</w:t>
            </w:r>
          </w:p>
        </w:tc>
      </w:tr>
    </w:tbl>
    <w:p>
      <w:pPr>
        <w:rPr>
          <w:rStyle w:val="33"/>
          <w:rFonts w:hint="default" w:ascii="Calibri" w:hAnsi="Calibri" w:cs="Calibri"/>
          <w:sz w:val="20"/>
          <w:szCs w:val="20"/>
        </w:rPr>
      </w:pPr>
    </w:p>
    <w:p>
      <w:pPr>
        <w:overflowPunct w:val="0"/>
        <w:jc w:val="both"/>
        <w:rPr>
          <w:rFonts w:hint="default" w:ascii="Calibri" w:hAnsi="Calibri" w:cs="Calibri"/>
          <w:b/>
          <w:color w:val="000000" w:themeColor="text1"/>
          <w:sz w:val="20"/>
          <w:szCs w:val="20"/>
          <w14:textFill>
            <w14:solidFill>
              <w14:schemeClr w14:val="tx1"/>
            </w14:solidFill>
          </w14:textFill>
        </w:rPr>
      </w:pPr>
      <w:r>
        <w:rPr>
          <w:rFonts w:hint="default" w:ascii="Calibri" w:hAnsi="Calibri" w:cs="Calibri"/>
          <w:color w:val="000000" w:themeColor="text1"/>
          <w:sz w:val="20"/>
          <w:szCs w:val="20"/>
          <w14:textFill>
            <w14:solidFill>
              <w14:schemeClr w14:val="tx1"/>
            </w14:solidFill>
          </w14:textFill>
        </w:rPr>
        <w:t xml:space="preserve">Ratifico o presente termo de referência, nos termos da Lei Federal n° </w:t>
      </w:r>
      <w:r>
        <w:rPr>
          <w:rFonts w:hint="default" w:ascii="Calibri" w:hAnsi="Calibri" w:cs="Calibri"/>
          <w:color w:val="000000" w:themeColor="text1"/>
          <w:sz w:val="20"/>
          <w:szCs w:val="20"/>
          <w:lang w:val="pt-BR"/>
          <w14:textFill>
            <w14:solidFill>
              <w14:schemeClr w14:val="tx1"/>
            </w14:solidFill>
          </w14:textFill>
        </w:rPr>
        <w:t>14.133/21</w:t>
      </w:r>
      <w:r>
        <w:rPr>
          <w:rFonts w:hint="default" w:ascii="Calibri" w:hAnsi="Calibri" w:cs="Calibri"/>
          <w:color w:val="000000" w:themeColor="text1"/>
          <w:sz w:val="20"/>
          <w:szCs w:val="20"/>
          <w14:textFill>
            <w14:solidFill>
              <w14:schemeClr w14:val="tx1"/>
            </w14:solidFill>
          </w14:textFill>
        </w:rPr>
        <w:t xml:space="preserve">, bem como autorizo </w:t>
      </w:r>
      <w:r>
        <w:rPr>
          <w:rFonts w:hint="default" w:ascii="Calibri" w:hAnsi="Calibri" w:cs="Calibri"/>
          <w:b/>
          <w:bCs/>
          <w:color w:val="000000" w:themeColor="text1"/>
          <w:sz w:val="20"/>
          <w:szCs w:val="20"/>
          <w14:textFill>
            <w14:solidFill>
              <w14:schemeClr w14:val="tx1"/>
            </w14:solidFill>
          </w14:textFill>
        </w:rPr>
        <w:t>O PROSSEGUIMENTO</w:t>
      </w:r>
      <w:r>
        <w:rPr>
          <w:rFonts w:hint="default" w:ascii="Calibri" w:hAnsi="Calibri" w:cs="Calibri"/>
          <w:b/>
          <w:color w:val="000000" w:themeColor="text1"/>
          <w:sz w:val="20"/>
          <w:szCs w:val="20"/>
          <w14:textFill>
            <w14:solidFill>
              <w14:schemeClr w14:val="tx1"/>
            </w14:solidFill>
          </w14:textFill>
        </w:rPr>
        <w:t xml:space="preserve"> DO PROCESSO ADMINISTRATIVO.</w:t>
      </w:r>
    </w:p>
    <w:p>
      <w:pPr>
        <w:spacing w:line="360" w:lineRule="auto"/>
        <w:jc w:val="center"/>
        <w:rPr>
          <w:rFonts w:hint="default" w:ascii="Calibri" w:hAnsi="Calibri" w:cs="Calibri"/>
          <w:b/>
          <w:color w:val="000000" w:themeColor="text1"/>
          <w:sz w:val="13"/>
          <w:szCs w:val="13"/>
          <w14:textFill>
            <w14:solidFill>
              <w14:schemeClr w14:val="tx1"/>
            </w14:solidFill>
          </w14:textFill>
        </w:rPr>
      </w:pPr>
    </w:p>
    <w:p>
      <w:pPr>
        <w:spacing w:line="360" w:lineRule="auto"/>
        <w:jc w:val="center"/>
        <w:rPr>
          <w:rFonts w:hint="default" w:ascii="Calibri" w:hAnsi="Calibri" w:cs="Calibri"/>
          <w:sz w:val="20"/>
          <w:szCs w:val="20"/>
        </w:rPr>
      </w:pPr>
      <w:r>
        <w:rPr>
          <w:rFonts w:hint="default" w:ascii="Calibri" w:hAnsi="Calibri" w:cs="Calibri"/>
          <w:sz w:val="20"/>
          <w:szCs w:val="20"/>
        </w:rPr>
        <w:t>Ciente, de acordo:</w:t>
      </w:r>
    </w:p>
    <w:p>
      <w:pPr>
        <w:jc w:val="center"/>
        <w:rPr>
          <w:rFonts w:hint="default" w:ascii="Calibri" w:hAnsi="Calibri" w:cs="Calibri"/>
        </w:rPr>
      </w:pPr>
      <w:r>
        <w:rPr>
          <w:rFonts w:hint="default" w:ascii="Calibri" w:hAnsi="Calibri" w:cs="Calibri"/>
        </w:rPr>
        <w:t>_____________________________________</w:t>
      </w:r>
    </w:p>
    <w:p>
      <w:pPr>
        <w:jc w:val="center"/>
        <w:rPr>
          <w:rFonts w:hint="default" w:ascii="Calibri" w:hAnsi="Calibri" w:cs="Calibri"/>
          <w:b/>
          <w:bCs/>
          <w:iCs/>
        </w:rPr>
      </w:pPr>
      <w:r>
        <w:rPr>
          <w:rFonts w:hint="default" w:ascii="Calibri" w:hAnsi="Calibri" w:cs="Calibri"/>
          <w:b/>
          <w:bCs/>
          <w:iCs/>
        </w:rPr>
        <w:t>&lt;Nome&gt;</w:t>
      </w:r>
    </w:p>
    <w:p>
      <w:pPr>
        <w:jc w:val="center"/>
        <w:rPr>
          <w:rFonts w:hint="default" w:ascii="Calibri" w:hAnsi="Calibri" w:cs="Calibri"/>
          <w:iCs/>
          <w:sz w:val="20"/>
          <w:szCs w:val="20"/>
        </w:rPr>
      </w:pPr>
      <w:r>
        <w:rPr>
          <w:rFonts w:hint="default" w:ascii="Calibri" w:hAnsi="Calibri" w:cs="Calibri"/>
          <w:iCs/>
          <w:sz w:val="20"/>
          <w:szCs w:val="20"/>
        </w:rPr>
        <w:t>&lt;Secretário(a) Municipal de _______________&gt;</w:t>
      </w:r>
    </w:p>
    <w:p>
      <w:pPr>
        <w:jc w:val="center"/>
        <w:rPr>
          <w:rFonts w:hint="default" w:ascii="Calibri" w:hAnsi="Calibri" w:cs="Calibri"/>
        </w:rPr>
      </w:pPr>
      <w:r>
        <w:rPr>
          <w:rFonts w:hint="default" w:ascii="Calibri" w:hAnsi="Calibri" w:cs="Calibri"/>
          <w:iCs/>
          <w:sz w:val="16"/>
          <w:szCs w:val="16"/>
        </w:rPr>
        <w:t>Matr.: &lt;nº da matrícula&gt;</w:t>
      </w:r>
    </w:p>
    <w:sectPr>
      <w:headerReference r:id="rId3" w:type="default"/>
      <w:footerReference r:id="rId4" w:type="default"/>
      <w:pgSz w:w="11906" w:h="16838"/>
      <w:pgMar w:top="1701" w:right="1134" w:bottom="567" w:left="1701" w:header="425" w:footer="284"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altName w:val="Mongolian Baiti"/>
    <w:panose1 w:val="03010101010201010101"/>
    <w:charset w:val="00"/>
    <w:family w:val="script"/>
    <w:pitch w:val="default"/>
    <w:sig w:usb0="00000000" w:usb1="00000000" w:usb2="00000000" w:usb3="00000000" w:csb0="0000009F" w:csb1="00000000"/>
  </w:font>
  <w:font w:name="Comic Sans MS">
    <w:panose1 w:val="030F0702030302020204"/>
    <w:charset w:val="00"/>
    <w:family w:val="script"/>
    <w:pitch w:val="default"/>
    <w:sig w:usb0="00000287" w:usb1="00000013"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Liberation Sans">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Ecofont_Spranq_eco_Sans">
    <w:altName w:val="Cambria"/>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MyriadPro-Regular">
    <w:altName w:val="Segoe Print"/>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544326"/>
    </w:sdtPr>
    <w:sdtContent>
      <w:p>
        <w:pPr>
          <w:pStyle w:val="20"/>
          <w:jc w:val="right"/>
          <w:rPr>
            <w:rFonts w:ascii="Calibri" w:hAnsi="Calibri"/>
            <w:sz w:val="20"/>
            <w:szCs w:val="20"/>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 xml:space="preserve">PAGE</w:instrText>
        </w:r>
        <w:r>
          <w:rPr>
            <w:rFonts w:ascii="Calibri" w:hAnsi="Calibri" w:cs="Calibri"/>
            <w:bCs/>
            <w:i/>
            <w:sz w:val="12"/>
            <w:szCs w:val="12"/>
          </w:rPr>
          <w:fldChar w:fldCharType="separate"/>
        </w:r>
        <w:r>
          <w:rPr>
            <w:rFonts w:ascii="Calibri" w:hAnsi="Calibri" w:cs="Calibri"/>
            <w:bCs/>
            <w:i/>
            <w:sz w:val="12"/>
            <w:szCs w:val="12"/>
          </w:rPr>
          <w:t>1</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 xml:space="preserve">NUMPAGES</w:instrText>
        </w:r>
        <w:r>
          <w:rPr>
            <w:rFonts w:ascii="Calibri" w:hAnsi="Calibri" w:cs="Calibri"/>
            <w:bCs/>
            <w:i/>
            <w:sz w:val="12"/>
            <w:szCs w:val="12"/>
          </w:rPr>
          <w:fldChar w:fldCharType="separate"/>
        </w:r>
        <w:r>
          <w:rPr>
            <w:rFonts w:ascii="Calibri" w:hAnsi="Calibri" w:cs="Calibri"/>
            <w:bCs/>
            <w:i/>
            <w:sz w:val="12"/>
            <w:szCs w:val="12"/>
          </w:rPr>
          <w:t>11</w:t>
        </w:r>
        <w:r>
          <w:rPr>
            <w:rFonts w:ascii="Calibri" w:hAnsi="Calibri" w:cs="Calibri"/>
            <w:bCs/>
            <w:i/>
            <w:sz w:val="12"/>
            <w:szCs w:val="12"/>
          </w:rPr>
          <w:fldChar w:fldCharType="end"/>
        </w:r>
      </w:p>
      <w:p>
        <w:pPr>
          <w:pStyle w:val="20"/>
          <w:jc w:val="right"/>
          <w:rPr>
            <w:i/>
            <w:sz w:val="16"/>
            <w:szCs w:val="16"/>
          </w:rPr>
        </w:pPr>
      </w:p>
    </w:sdtContent>
  </w:sdt>
  <w:p>
    <w:pPr>
      <w:pStyle w:val="20"/>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6"/>
      <w:rPr>
        <w:rFonts w:ascii="Arial" w:hAnsi="Arial" w:cs="Arial"/>
        <w:sz w:val="16"/>
        <w:szCs w:val="18"/>
      </w:rPr>
    </w:pPr>
    <w:r>
      <mc:AlternateContent>
        <mc:Choice Requires="wps">
          <w:drawing>
            <wp:anchor distT="0" distB="0" distL="0" distR="0" simplePos="0" relativeHeight="251659264" behindDoc="1" locked="0" layoutInCell="1" allowOverlap="1">
              <wp:simplePos x="0" y="0"/>
              <wp:positionH relativeFrom="column">
                <wp:posOffset>3952875</wp:posOffset>
              </wp:positionH>
              <wp:positionV relativeFrom="paragraph">
                <wp:posOffset>-106045</wp:posOffset>
              </wp:positionV>
              <wp:extent cx="1877060" cy="56197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6320" cy="561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id="Caixa de texto 6" o:spid="_x0000_s1026" o:spt="1" style="position:absolute;left:0pt;margin-left:311.25pt;margin-top:-8.35pt;height:44.25pt;width:147.8pt;z-index:-251657216;mso-width-relative:page;mso-height-relative:page;" fillcolor="#FFFFFF" filled="t" stroked="t" coordsize="21600,21600" o:gfxdata="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Y+c7dAAAACgEAAA8AAAAAAAAAAQAgAAAAIgAAAGRy&#10;cy9kb3ducmV2LnhtbFBLAQIUABQAAAAIAIdO4kBeiezgxwEAALwDAAAOAAAAAAAAAAEAIAAAACwB&#10;AABkcnMvZTJvRG9jLnhtbFBLBQYAAAAABgAGAFkBAABlBQAAAAA=&#10;">
              <v:fill on="t" focussize="0,0"/>
              <v:stroke weight="0.737007874015748pt" color="#000000" joinstyle="round"/>
              <v:imagedata o:title=""/>
              <o:lock v:ext="edit" aspectratio="f"/>
              <v:textbo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drawing>
        <wp:anchor distT="0" distB="0" distL="114300" distR="114300" simplePos="0" relativeHeight="251659264" behindDoc="0" locked="0" layoutInCell="1" allowOverlap="1">
          <wp:simplePos x="0" y="0"/>
          <wp:positionH relativeFrom="column">
            <wp:posOffset>-267335</wp:posOffset>
          </wp:positionH>
          <wp:positionV relativeFrom="paragraph">
            <wp:posOffset>-50165</wp:posOffset>
          </wp:positionV>
          <wp:extent cx="494030" cy="590550"/>
          <wp:effectExtent l="0" t="0" r="0" b="0"/>
          <wp:wrapTight wrapText="bothSides">
            <wp:wrapPolygon>
              <wp:start x="-191" y="0"/>
              <wp:lineTo x="-191" y="20719"/>
              <wp:lineTo x="20814" y="20719"/>
              <wp:lineTo x="20814" y="0"/>
              <wp:lineTo x="-191"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pic:spPr>
              </pic:pic>
            </a:graphicData>
          </a:graphic>
        </wp:anchor>
      </w:drawing>
    </w:r>
    <w:r>
      <w:rPr>
        <w:rFonts w:ascii="Arial" w:hAnsi="Arial" w:cs="Arial"/>
        <w:sz w:val="16"/>
        <w:szCs w:val="18"/>
      </w:rPr>
      <w:t>Estado do Rio de Janeiro</w:t>
    </w:r>
  </w:p>
  <w:p>
    <w:pPr>
      <w:ind w:left="426"/>
      <w:rPr>
        <w:b/>
        <w:sz w:val="16"/>
        <w:szCs w:val="18"/>
      </w:rPr>
    </w:pPr>
    <w:r>
      <mc:AlternateContent>
        <mc:Choice Requires="wps">
          <w:drawing>
            <wp:anchor distT="0" distB="0" distL="0" distR="0" simplePos="0" relativeHeight="251659264" behindDoc="1" locked="0" layoutInCell="1" allowOverlap="1">
              <wp:simplePos x="0" y="0"/>
              <wp:positionH relativeFrom="column">
                <wp:posOffset>2771140</wp:posOffset>
              </wp:positionH>
              <wp:positionV relativeFrom="paragraph">
                <wp:posOffset>43180</wp:posOffset>
              </wp:positionV>
              <wp:extent cx="1009650" cy="276225"/>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080" cy="275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VI</w:t>
                          </w:r>
                        </w:p>
                      </w:txbxContent>
                    </wps:txbx>
                    <wps:bodyPr>
                      <a:noAutofit/>
                    </wps:bodyPr>
                  </wps:wsp>
                </a:graphicData>
              </a:graphic>
            </wp:anchor>
          </w:drawing>
        </mc:Choice>
        <mc:Fallback>
          <w:pict>
            <v:rect id="Caixa de Texto 2" o:spid="_x0000_s1026" o:spt="1" style="position:absolute;left:0pt;margin-left:218.2pt;margin-top:3.4pt;height:21.75pt;width:79.5pt;z-index:-251657216;mso-width-relative:page;mso-height-relative:page;" fillcolor="#FFFFFF" filled="t" stroked="f" coordsize="21600,21600" o:gfxdata="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7RE91wAAAAgBAAAPAAAAAAAAAAEAIAAAACIAAABkcnMvZG93bnJldi54bWxQSwEC&#10;FAAUAAAACACHTuJAnPABlbwBAACJAwAADgAAAAAAAAABACAAAAAmAQAAZHJzL2Uyb0RvYy54bWxQ&#10;SwUGAAAAAAYABgBZAQAAVAUAAAAA&#10;">
              <v:fill on="t" focussize="0,0"/>
              <v:stroke on="f" weight="0.737007874015748pt"/>
              <v:imagedata o:title=""/>
              <o:lock v:ext="edit" aspectratio="f"/>
              <v:textbo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VI</w:t>
                    </w:r>
                  </w:p>
                </w:txbxContent>
              </v:textbox>
            </v:rect>
          </w:pict>
        </mc:Fallback>
      </mc:AlternateContent>
    </w:r>
    <w:r>
      <w:rPr>
        <w:rFonts w:ascii="Arial" w:hAnsi="Arial" w:cs="Arial"/>
        <w:b/>
        <w:sz w:val="16"/>
        <w:szCs w:val="18"/>
      </w:rPr>
      <w:t>PREFEITURA MUNICIPAL DE NOVA FRIBURGO</w:t>
    </w:r>
  </w:p>
  <w:p>
    <w:pPr>
      <w:pStyle w:val="3"/>
      <w:ind w:left="426"/>
      <w:rPr>
        <w:b w:val="0"/>
        <w:sz w:val="16"/>
        <w:szCs w:val="18"/>
      </w:rPr>
    </w:pPr>
    <w:r>
      <w:rPr>
        <w:b w:val="0"/>
        <w:sz w:val="16"/>
        <w:szCs w:val="18"/>
      </w:rPr>
      <w:t>&lt;Secretaria&gt;</w:t>
    </w:r>
  </w:p>
  <w:p>
    <w:pPr>
      <w:ind w:left="426"/>
      <w:rPr>
        <w:rFonts w:ascii="Arial" w:hAnsi="Arial" w:cs="Arial"/>
        <w:sz w:val="16"/>
        <w:szCs w:val="18"/>
        <w:lang w:eastAsia="ar-SA"/>
      </w:rPr>
    </w:pPr>
    <w:r>
      <w:rPr>
        <w:rFonts w:ascii="Arial" w:hAnsi="Arial" w:cs="Arial"/>
        <w:sz w:val="16"/>
        <w:szCs w:val="18"/>
        <w:lang w:eastAsia="ar-SA"/>
      </w:rPr>
      <w:t>&lt;Subsecretaria&gt;</w:t>
    </w:r>
  </w:p>
  <w:p>
    <w:pPr>
      <w:ind w:left="426"/>
      <w:rPr>
        <w:rFonts w:ascii="Arial" w:hAnsi="Arial" w:cs="Arial"/>
        <w:sz w:val="16"/>
        <w:szCs w:val="18"/>
        <w:lang w:eastAsia="ar-SA"/>
      </w:rPr>
    </w:pPr>
  </w:p>
  <w:p>
    <w:pPr>
      <w:pStyle w:val="21"/>
    </w:pPr>
    <w:r>
      <mc:AlternateContent>
        <mc:Choice Requires="wps">
          <w:drawing>
            <wp:anchor distT="0" distB="0" distL="0" distR="0" simplePos="0" relativeHeight="251659264" behindDoc="1" locked="0" layoutInCell="1" allowOverlap="1">
              <wp:simplePos x="0" y="0"/>
              <wp:positionH relativeFrom="column">
                <wp:posOffset>-384175</wp:posOffset>
              </wp:positionH>
              <wp:positionV relativeFrom="paragraph">
                <wp:posOffset>120650</wp:posOffset>
              </wp:positionV>
              <wp:extent cx="6344285" cy="21590"/>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3560" cy="2088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Conector Reto 5" o:spid="_x0000_s1026" o:spt="20" style="position:absolute;left:0pt;flip:y;margin-left:-30.25pt;margin-top:9.5pt;height:1.7pt;width:499.55pt;z-index:-251657216;mso-width-relative:page;mso-height-relative:page;" filled="f" stroked="t" coordsize="21600,21600" o:gfxdata="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xC+81wAAAAkBAAAPAAAAAAAA&#10;AAEAIAAAACIAAABkcnMvZG93bnJldi54bWxQSwECFAAUAAAACACHTuJAbP5lxdoBAAC9AwAADgAA&#10;AAAAAAABACAAAAAmAQAAZHJzL2Uyb0RvYy54bWxQSwUGAAAAAAYABgBZAQAAcgUAAAAA&#10;">
              <v:fill on="f" focussize="0,0"/>
              <v:stroke weight="0.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473F6"/>
    <w:multiLevelType w:val="multilevel"/>
    <w:tmpl w:val="194473F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5C100D"/>
    <w:multiLevelType w:val="multilevel"/>
    <w:tmpl w:val="1D5C100D"/>
    <w:lvl w:ilvl="0" w:tentative="0">
      <w:start w:val="1"/>
      <w:numFmt w:val="decimal"/>
      <w:pStyle w:val="43"/>
      <w:lvlText w:val="%1."/>
      <w:lvlJc w:val="left"/>
      <w:pPr>
        <w:ind w:left="360" w:hanging="360"/>
      </w:pPr>
      <w:rPr>
        <w:rFonts w:hint="default"/>
        <w:b/>
        <w:color w:val="auto"/>
        <w:sz w:val="20"/>
        <w:szCs w:val="20"/>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pStyle w:val="51"/>
      <w:lvlText w:val="%1.%2.%3."/>
      <w:lvlJc w:val="left"/>
      <w:pPr>
        <w:ind w:left="930" w:hanging="504"/>
      </w:pPr>
      <w:rPr>
        <w:rFonts w:hint="default"/>
        <w:b w:val="0"/>
        <w:i w:val="0"/>
        <w:color w:val="auto"/>
      </w:rPr>
    </w:lvl>
    <w:lvl w:ilvl="3" w:tentative="0">
      <w:start w:val="1"/>
      <w:numFmt w:val="decimal"/>
      <w:lvlText w:val="%1.%2.%3.%4."/>
      <w:lvlJc w:val="left"/>
      <w:pPr>
        <w:ind w:left="2491"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37F6827"/>
    <w:multiLevelType w:val="multilevel"/>
    <w:tmpl w:val="237F6827"/>
    <w:lvl w:ilvl="0" w:tentative="0">
      <w:start w:val="1"/>
      <w:numFmt w:val="decimal"/>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b w:val="0"/>
        <w:i w:val="0"/>
        <w:color w:val="auto"/>
      </w:rPr>
    </w:lvl>
    <w:lvl w:ilvl="3" w:tentative="0">
      <w:start w:val="1"/>
      <w:numFmt w:val="lowerLetter"/>
      <w:lvlText w:val="%4."/>
      <w:lvlJc w:val="left"/>
      <w:pPr>
        <w:ind w:left="2203" w:hanging="360"/>
      </w:p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30881E02"/>
    <w:multiLevelType w:val="multilevel"/>
    <w:tmpl w:val="30881E02"/>
    <w:lvl w:ilvl="0" w:tentative="0">
      <w:start w:val="10"/>
      <w:numFmt w:val="decimal"/>
      <w:lvlText w:val="%1"/>
      <w:lvlJc w:val="left"/>
      <w:pPr>
        <w:ind w:left="540" w:hanging="540"/>
      </w:pPr>
      <w:rPr>
        <w:rFonts w:hint="default"/>
      </w:rPr>
    </w:lvl>
    <w:lvl w:ilvl="1" w:tentative="0">
      <w:start w:val="3"/>
      <w:numFmt w:val="decimal"/>
      <w:lvlText w:val="%1.%2"/>
      <w:lvlJc w:val="left"/>
      <w:pPr>
        <w:ind w:left="753" w:hanging="540"/>
      </w:pPr>
      <w:rPr>
        <w:rFonts w:hint="default"/>
      </w:rPr>
    </w:lvl>
    <w:lvl w:ilvl="2" w:tentative="0">
      <w:start w:val="1"/>
      <w:numFmt w:val="decimal"/>
      <w:lvlText w:val="%1.%2.%3"/>
      <w:lvlJc w:val="left"/>
      <w:pPr>
        <w:ind w:left="1146" w:hanging="720"/>
      </w:pPr>
      <w:rPr>
        <w:rFonts w:hint="default"/>
      </w:rPr>
    </w:lvl>
    <w:lvl w:ilvl="3" w:tentative="0">
      <w:start w:val="1"/>
      <w:numFmt w:val="decimal"/>
      <w:lvlText w:val="%1.%2.%3.%4"/>
      <w:lvlJc w:val="left"/>
      <w:pPr>
        <w:ind w:left="1359" w:hanging="720"/>
      </w:pPr>
      <w:rPr>
        <w:rFonts w:hint="default"/>
      </w:rPr>
    </w:lvl>
    <w:lvl w:ilvl="4" w:tentative="0">
      <w:start w:val="1"/>
      <w:numFmt w:val="decimal"/>
      <w:lvlText w:val="%1.%2.%3.%4.%5"/>
      <w:lvlJc w:val="left"/>
      <w:pPr>
        <w:ind w:left="1932" w:hanging="1080"/>
      </w:pPr>
      <w:rPr>
        <w:rFonts w:hint="default"/>
      </w:rPr>
    </w:lvl>
    <w:lvl w:ilvl="5" w:tentative="0">
      <w:start w:val="1"/>
      <w:numFmt w:val="decimal"/>
      <w:lvlText w:val="%1.%2.%3.%4.%5.%6"/>
      <w:lvlJc w:val="left"/>
      <w:pPr>
        <w:ind w:left="2145" w:hanging="1080"/>
      </w:pPr>
      <w:rPr>
        <w:rFonts w:hint="default"/>
      </w:rPr>
    </w:lvl>
    <w:lvl w:ilvl="6" w:tentative="0">
      <w:start w:val="1"/>
      <w:numFmt w:val="decimal"/>
      <w:lvlText w:val="%1.%2.%3.%4.%5.%6.%7"/>
      <w:lvlJc w:val="left"/>
      <w:pPr>
        <w:ind w:left="2718" w:hanging="1440"/>
      </w:pPr>
      <w:rPr>
        <w:rFonts w:hint="default"/>
      </w:rPr>
    </w:lvl>
    <w:lvl w:ilvl="7" w:tentative="0">
      <w:start w:val="1"/>
      <w:numFmt w:val="decimal"/>
      <w:lvlText w:val="%1.%2.%3.%4.%5.%6.%7.%8"/>
      <w:lvlJc w:val="left"/>
      <w:pPr>
        <w:ind w:left="2931" w:hanging="1440"/>
      </w:pPr>
      <w:rPr>
        <w:rFonts w:hint="default"/>
      </w:rPr>
    </w:lvl>
    <w:lvl w:ilvl="8" w:tentative="0">
      <w:start w:val="1"/>
      <w:numFmt w:val="decimal"/>
      <w:lvlText w:val="%1.%2.%3.%4.%5.%6.%7.%8.%9"/>
      <w:lvlJc w:val="left"/>
      <w:pPr>
        <w:ind w:left="3504" w:hanging="1800"/>
      </w:pPr>
      <w:rPr>
        <w:rFonts w:hint="default"/>
      </w:rPr>
    </w:lvl>
  </w:abstractNum>
  <w:abstractNum w:abstractNumId="4">
    <w:nsid w:val="3BE635F8"/>
    <w:multiLevelType w:val="multilevel"/>
    <w:tmpl w:val="3BE635F8"/>
    <w:lvl w:ilvl="0" w:tentative="0">
      <w:start w:val="1"/>
      <w:numFmt w:val="decimal"/>
      <w:suff w:val="space"/>
      <w:lvlText w:val="%1."/>
      <w:lvlJc w:val="left"/>
      <w:pPr>
        <w:ind w:left="24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5">
    <w:nsid w:val="3DCB49D0"/>
    <w:multiLevelType w:val="multilevel"/>
    <w:tmpl w:val="3DCB49D0"/>
    <w:lvl w:ilvl="0" w:tentative="0">
      <w:start w:val="1"/>
      <w:numFmt w:val="decimal"/>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b w:val="0"/>
        <w:i w:val="0"/>
        <w:color w:val="auto"/>
      </w:rPr>
    </w:lvl>
    <w:lvl w:ilvl="3" w:tentative="0">
      <w:start w:val="1"/>
      <w:numFmt w:val="lowerLetter"/>
      <w:lvlText w:val="%4."/>
      <w:lvlJc w:val="left"/>
      <w:pPr>
        <w:ind w:left="2203" w:hanging="360"/>
      </w:p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458138E9"/>
    <w:multiLevelType w:val="multilevel"/>
    <w:tmpl w:val="458138E9"/>
    <w:lvl w:ilvl="0" w:tentative="0">
      <w:start w:val="1"/>
      <w:numFmt w:val="decimal"/>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b w:val="0"/>
        <w:i w:val="0"/>
        <w:color w:val="auto"/>
      </w:rPr>
    </w:lvl>
    <w:lvl w:ilvl="3" w:tentative="0">
      <w:start w:val="1"/>
      <w:numFmt w:val="lowerLetter"/>
      <w:lvlText w:val="%4."/>
      <w:lvlJc w:val="left"/>
      <w:pPr>
        <w:ind w:left="2203" w:hanging="360"/>
      </w:p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47F2579A"/>
    <w:multiLevelType w:val="multilevel"/>
    <w:tmpl w:val="47F2579A"/>
    <w:lvl w:ilvl="0" w:tentative="0">
      <w:start w:val="1"/>
      <w:numFmt w:val="decimal"/>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b w:val="0"/>
        <w:i w:val="0"/>
        <w:color w:val="auto"/>
      </w:rPr>
    </w:lvl>
    <w:lvl w:ilvl="3" w:tentative="0">
      <w:start w:val="1"/>
      <w:numFmt w:val="lowerLetter"/>
      <w:lvlText w:val="%4."/>
      <w:lvlJc w:val="left"/>
      <w:pPr>
        <w:ind w:left="2203" w:hanging="360"/>
      </w:p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8">
    <w:nsid w:val="53F9441E"/>
    <w:multiLevelType w:val="multilevel"/>
    <w:tmpl w:val="53F9441E"/>
    <w:lvl w:ilvl="0" w:tentative="0">
      <w:start w:val="1"/>
      <w:numFmt w:val="decimal"/>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b w:val="0"/>
        <w:i w:val="0"/>
        <w:color w:val="auto"/>
      </w:rPr>
    </w:lvl>
    <w:lvl w:ilvl="3" w:tentative="0">
      <w:start w:val="1"/>
      <w:numFmt w:val="lowerLetter"/>
      <w:lvlText w:val="%4."/>
      <w:lvlJc w:val="left"/>
      <w:pPr>
        <w:ind w:left="2203" w:hanging="360"/>
      </w:p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9">
    <w:nsid w:val="60242243"/>
    <w:multiLevelType w:val="multilevel"/>
    <w:tmpl w:val="60242243"/>
    <w:lvl w:ilvl="0" w:tentative="0">
      <w:start w:val="10"/>
      <w:numFmt w:val="decimal"/>
      <w:lvlText w:val="%1"/>
      <w:lvlJc w:val="left"/>
      <w:pPr>
        <w:ind w:left="540" w:hanging="540"/>
      </w:pPr>
      <w:rPr>
        <w:rFonts w:hint="default"/>
      </w:rPr>
    </w:lvl>
    <w:lvl w:ilvl="1" w:tentative="0">
      <w:start w:val="4"/>
      <w:numFmt w:val="decimal"/>
      <w:lvlText w:val="%1.%2"/>
      <w:lvlJc w:val="left"/>
      <w:pPr>
        <w:ind w:left="975" w:hanging="540"/>
      </w:pPr>
      <w:rPr>
        <w:rFonts w:hint="default"/>
      </w:rPr>
    </w:lvl>
    <w:lvl w:ilvl="2" w:tentative="0">
      <w:start w:val="1"/>
      <w:numFmt w:val="decimal"/>
      <w:lvlText w:val="%1.%2.%3"/>
      <w:lvlJc w:val="left"/>
      <w:pPr>
        <w:ind w:left="1590" w:hanging="720"/>
      </w:pPr>
      <w:rPr>
        <w:rFonts w:hint="default"/>
      </w:rPr>
    </w:lvl>
    <w:lvl w:ilvl="3" w:tentative="0">
      <w:start w:val="1"/>
      <w:numFmt w:val="decimal"/>
      <w:lvlText w:val="%1.%2.%3.%4"/>
      <w:lvlJc w:val="left"/>
      <w:pPr>
        <w:ind w:left="2025" w:hanging="720"/>
      </w:pPr>
      <w:rPr>
        <w:rFonts w:hint="default"/>
      </w:rPr>
    </w:lvl>
    <w:lvl w:ilvl="4" w:tentative="0">
      <w:start w:val="1"/>
      <w:numFmt w:val="decimal"/>
      <w:lvlText w:val="%1.%2.%3.%4.%5"/>
      <w:lvlJc w:val="left"/>
      <w:pPr>
        <w:ind w:left="2820" w:hanging="1080"/>
      </w:pPr>
      <w:rPr>
        <w:rFonts w:hint="default"/>
      </w:rPr>
    </w:lvl>
    <w:lvl w:ilvl="5" w:tentative="0">
      <w:start w:val="1"/>
      <w:numFmt w:val="decimal"/>
      <w:lvlText w:val="%1.%2.%3.%4.%5.%6"/>
      <w:lvlJc w:val="left"/>
      <w:pPr>
        <w:ind w:left="3255" w:hanging="1080"/>
      </w:pPr>
      <w:rPr>
        <w:rFonts w:hint="default"/>
      </w:rPr>
    </w:lvl>
    <w:lvl w:ilvl="6" w:tentative="0">
      <w:start w:val="1"/>
      <w:numFmt w:val="decimal"/>
      <w:lvlText w:val="%1.%2.%3.%4.%5.%6.%7"/>
      <w:lvlJc w:val="left"/>
      <w:pPr>
        <w:ind w:left="4050" w:hanging="1440"/>
      </w:pPr>
      <w:rPr>
        <w:rFonts w:hint="default"/>
      </w:rPr>
    </w:lvl>
    <w:lvl w:ilvl="7" w:tentative="0">
      <w:start w:val="1"/>
      <w:numFmt w:val="decimal"/>
      <w:lvlText w:val="%1.%2.%3.%4.%5.%6.%7.%8"/>
      <w:lvlJc w:val="left"/>
      <w:pPr>
        <w:ind w:left="4485" w:hanging="1440"/>
      </w:pPr>
      <w:rPr>
        <w:rFonts w:hint="default"/>
      </w:rPr>
    </w:lvl>
    <w:lvl w:ilvl="8" w:tentative="0">
      <w:start w:val="1"/>
      <w:numFmt w:val="decimal"/>
      <w:lvlText w:val="%1.%2.%3.%4.%5.%6.%7.%8.%9"/>
      <w:lvlJc w:val="left"/>
      <w:pPr>
        <w:ind w:left="5280" w:hanging="1800"/>
      </w:pPr>
      <w:rPr>
        <w:rFonts w:hint="default"/>
      </w:rPr>
    </w:lvl>
  </w:abstractNum>
  <w:abstractNum w:abstractNumId="10">
    <w:nsid w:val="61E71854"/>
    <w:multiLevelType w:val="multilevel"/>
    <w:tmpl w:val="61E71854"/>
    <w:lvl w:ilvl="0" w:tentative="0">
      <w:start w:val="1"/>
      <w:numFmt w:val="decimal"/>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b w:val="0"/>
        <w:i w:val="0"/>
        <w:color w:val="auto"/>
      </w:rPr>
    </w:lvl>
    <w:lvl w:ilvl="3" w:tentative="0">
      <w:start w:val="1"/>
      <w:numFmt w:val="lowerLetter"/>
      <w:lvlText w:val="%4."/>
      <w:lvlJc w:val="left"/>
      <w:pPr>
        <w:ind w:left="2203" w:hanging="360"/>
      </w:p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62EEFF6B"/>
    <w:multiLevelType w:val="singleLevel"/>
    <w:tmpl w:val="62EEFF6B"/>
    <w:lvl w:ilvl="0" w:tentative="0">
      <w:start w:val="1"/>
      <w:numFmt w:val="decimal"/>
      <w:suff w:val="space"/>
      <w:lvlText w:val="%1."/>
      <w:lvlJc w:val="left"/>
    </w:lvl>
  </w:abstractNum>
  <w:abstractNum w:abstractNumId="12">
    <w:nsid w:val="68485C5F"/>
    <w:multiLevelType w:val="multilevel"/>
    <w:tmpl w:val="68485C5F"/>
    <w:lvl w:ilvl="0" w:tentative="0">
      <w:start w:val="18"/>
      <w:numFmt w:val="decimal"/>
      <w:lvlText w:val="%1"/>
      <w:lvlJc w:val="left"/>
      <w:pPr>
        <w:ind w:left="510" w:hanging="510"/>
      </w:pPr>
      <w:rPr>
        <w:rFonts w:hint="default" w:cs="Arial"/>
        <w:color w:val="000000"/>
      </w:rPr>
    </w:lvl>
    <w:lvl w:ilvl="1" w:tentative="0">
      <w:start w:val="1"/>
      <w:numFmt w:val="decimal"/>
      <w:lvlText w:val="%1.%2"/>
      <w:lvlJc w:val="left"/>
      <w:pPr>
        <w:ind w:left="870" w:hanging="510"/>
      </w:pPr>
      <w:rPr>
        <w:rFonts w:hint="default" w:cs="Arial"/>
        <w:color w:val="FF0000"/>
      </w:rPr>
    </w:lvl>
    <w:lvl w:ilvl="2" w:tentative="0">
      <w:start w:val="1"/>
      <w:numFmt w:val="lowerLetter"/>
      <w:lvlText w:val="%3."/>
      <w:lvlJc w:val="left"/>
      <w:pPr>
        <w:ind w:left="1440" w:hanging="360"/>
      </w:pPr>
    </w:lvl>
    <w:lvl w:ilvl="3" w:tentative="0">
      <w:start w:val="1"/>
      <w:numFmt w:val="decimal"/>
      <w:lvlText w:val="%1.%2.%3.%4"/>
      <w:lvlJc w:val="left"/>
      <w:pPr>
        <w:ind w:left="1800" w:hanging="720"/>
      </w:pPr>
      <w:rPr>
        <w:rFonts w:hint="default" w:cs="Arial"/>
        <w:color w:val="000000"/>
      </w:rPr>
    </w:lvl>
    <w:lvl w:ilvl="4" w:tentative="0">
      <w:start w:val="1"/>
      <w:numFmt w:val="decimal"/>
      <w:lvlText w:val="%1.%2.%3.%4.%5"/>
      <w:lvlJc w:val="left"/>
      <w:pPr>
        <w:ind w:left="2160" w:hanging="720"/>
      </w:pPr>
      <w:rPr>
        <w:rFonts w:hint="default" w:cs="Arial"/>
        <w:color w:val="000000"/>
      </w:rPr>
    </w:lvl>
    <w:lvl w:ilvl="5" w:tentative="0">
      <w:start w:val="1"/>
      <w:numFmt w:val="decimal"/>
      <w:lvlText w:val="%1.%2.%3.%4.%5.%6"/>
      <w:lvlJc w:val="left"/>
      <w:pPr>
        <w:ind w:left="2880" w:hanging="1080"/>
      </w:pPr>
      <w:rPr>
        <w:rFonts w:hint="default" w:cs="Arial"/>
        <w:color w:val="000000"/>
      </w:rPr>
    </w:lvl>
    <w:lvl w:ilvl="6" w:tentative="0">
      <w:start w:val="1"/>
      <w:numFmt w:val="decimal"/>
      <w:lvlText w:val="%1.%2.%3.%4.%5.%6.%7"/>
      <w:lvlJc w:val="left"/>
      <w:pPr>
        <w:ind w:left="3240" w:hanging="1080"/>
      </w:pPr>
      <w:rPr>
        <w:rFonts w:hint="default" w:cs="Arial"/>
        <w:color w:val="000000"/>
      </w:rPr>
    </w:lvl>
    <w:lvl w:ilvl="7" w:tentative="0">
      <w:start w:val="1"/>
      <w:numFmt w:val="decimal"/>
      <w:lvlText w:val="%1.%2.%3.%4.%5.%6.%7.%8"/>
      <w:lvlJc w:val="left"/>
      <w:pPr>
        <w:ind w:left="3960" w:hanging="1440"/>
      </w:pPr>
      <w:rPr>
        <w:rFonts w:hint="default" w:cs="Arial"/>
        <w:color w:val="000000"/>
      </w:rPr>
    </w:lvl>
    <w:lvl w:ilvl="8" w:tentative="0">
      <w:start w:val="1"/>
      <w:numFmt w:val="decimal"/>
      <w:lvlText w:val="%1.%2.%3.%4.%5.%6.%7.%8.%9"/>
      <w:lvlJc w:val="left"/>
      <w:pPr>
        <w:ind w:left="4320" w:hanging="1440"/>
      </w:pPr>
      <w:rPr>
        <w:rFonts w:hint="default" w:cs="Arial"/>
        <w:color w:val="000000"/>
      </w:rPr>
    </w:lvl>
  </w:abstractNum>
  <w:abstractNum w:abstractNumId="13">
    <w:nsid w:val="6D8F5A66"/>
    <w:multiLevelType w:val="multilevel"/>
    <w:tmpl w:val="6D8F5A66"/>
    <w:lvl w:ilvl="0" w:tentative="0">
      <w:start w:val="10"/>
      <w:numFmt w:val="decimal"/>
      <w:lvlText w:val="%1"/>
      <w:lvlJc w:val="left"/>
      <w:pPr>
        <w:ind w:left="705" w:hanging="705"/>
      </w:pPr>
      <w:rPr>
        <w:rFonts w:hint="default"/>
      </w:rPr>
    </w:lvl>
    <w:lvl w:ilvl="1" w:tentative="0">
      <w:start w:val="2"/>
      <w:numFmt w:val="decimal"/>
      <w:lvlText w:val="%1.%2"/>
      <w:lvlJc w:val="left"/>
      <w:pPr>
        <w:ind w:left="1161" w:hanging="705"/>
      </w:pPr>
      <w:rPr>
        <w:rFonts w:hint="default"/>
      </w:rPr>
    </w:lvl>
    <w:lvl w:ilvl="2" w:tentative="0">
      <w:start w:val="2"/>
      <w:numFmt w:val="decimal"/>
      <w:lvlText w:val="%1.%2.%3"/>
      <w:lvlJc w:val="left"/>
      <w:pPr>
        <w:ind w:left="1632" w:hanging="720"/>
      </w:pPr>
      <w:rPr>
        <w:rFonts w:hint="default"/>
      </w:rPr>
    </w:lvl>
    <w:lvl w:ilvl="3" w:tentative="0">
      <w:start w:val="1"/>
      <w:numFmt w:val="decimal"/>
      <w:lvlText w:val="%1.%2.%3.%4"/>
      <w:lvlJc w:val="left"/>
      <w:pPr>
        <w:ind w:left="2088" w:hanging="720"/>
      </w:pPr>
      <w:rPr>
        <w:rFonts w:hint="default"/>
      </w:rPr>
    </w:lvl>
    <w:lvl w:ilvl="4" w:tentative="0">
      <w:start w:val="1"/>
      <w:numFmt w:val="decimal"/>
      <w:lvlText w:val="%1.%2.%3.%4.%5"/>
      <w:lvlJc w:val="left"/>
      <w:pPr>
        <w:ind w:left="2904" w:hanging="1080"/>
      </w:pPr>
      <w:rPr>
        <w:rFonts w:hint="default"/>
      </w:rPr>
    </w:lvl>
    <w:lvl w:ilvl="5" w:tentative="0">
      <w:start w:val="1"/>
      <w:numFmt w:val="decimal"/>
      <w:lvlText w:val="%1.%2.%3.%4.%5.%6"/>
      <w:lvlJc w:val="left"/>
      <w:pPr>
        <w:ind w:left="3360" w:hanging="1080"/>
      </w:pPr>
      <w:rPr>
        <w:rFonts w:hint="default"/>
      </w:rPr>
    </w:lvl>
    <w:lvl w:ilvl="6" w:tentative="0">
      <w:start w:val="1"/>
      <w:numFmt w:val="decimal"/>
      <w:lvlText w:val="%1.%2.%3.%4.%5.%6.%7"/>
      <w:lvlJc w:val="left"/>
      <w:pPr>
        <w:ind w:left="4176" w:hanging="1440"/>
      </w:pPr>
      <w:rPr>
        <w:rFonts w:hint="default"/>
      </w:rPr>
    </w:lvl>
    <w:lvl w:ilvl="7" w:tentative="0">
      <w:start w:val="1"/>
      <w:numFmt w:val="decimal"/>
      <w:lvlText w:val="%1.%2.%3.%4.%5.%6.%7.%8"/>
      <w:lvlJc w:val="left"/>
      <w:pPr>
        <w:ind w:left="4632" w:hanging="1440"/>
      </w:pPr>
      <w:rPr>
        <w:rFonts w:hint="default"/>
      </w:rPr>
    </w:lvl>
    <w:lvl w:ilvl="8" w:tentative="0">
      <w:start w:val="1"/>
      <w:numFmt w:val="decimal"/>
      <w:lvlText w:val="%1.%2.%3.%4.%5.%6.%7.%8.%9"/>
      <w:lvlJc w:val="left"/>
      <w:pPr>
        <w:ind w:left="5448" w:hanging="1800"/>
      </w:pPr>
      <w:rPr>
        <w:rFonts w:hint="default"/>
      </w:rPr>
    </w:lvl>
  </w:abstractNum>
  <w:abstractNum w:abstractNumId="14">
    <w:nsid w:val="719B0D42"/>
    <w:multiLevelType w:val="multilevel"/>
    <w:tmpl w:val="719B0D42"/>
    <w:lvl w:ilvl="0" w:tentative="0">
      <w:start w:val="1"/>
      <w:numFmt w:val="decimal"/>
      <w:lvlText w:val="%1."/>
      <w:lvlJc w:val="left"/>
      <w:pPr>
        <w:ind w:left="360" w:hanging="360"/>
      </w:pPr>
      <w:rPr>
        <w:rFonts w:hint="default"/>
        <w:b/>
        <w:color w:val="auto"/>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1072" w:hanging="504"/>
      </w:pPr>
      <w:rPr>
        <w:rFonts w:hint="default"/>
        <w:b w:val="0"/>
        <w:i w:val="0"/>
        <w:color w:val="auto"/>
      </w:rPr>
    </w:lvl>
    <w:lvl w:ilvl="3" w:tentative="0">
      <w:start w:val="1"/>
      <w:numFmt w:val="lowerLetter"/>
      <w:lvlText w:val="%4."/>
      <w:lvlJc w:val="left"/>
      <w:pPr>
        <w:ind w:left="2203" w:hanging="360"/>
      </w:p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5">
    <w:nsid w:val="742F0763"/>
    <w:multiLevelType w:val="multilevel"/>
    <w:tmpl w:val="742F0763"/>
    <w:lvl w:ilvl="0" w:tentative="0">
      <w:start w:val="10"/>
      <w:numFmt w:val="decimal"/>
      <w:lvlText w:val="%1"/>
      <w:lvlJc w:val="left"/>
      <w:pPr>
        <w:ind w:left="705" w:hanging="705"/>
      </w:pPr>
      <w:rPr>
        <w:rFonts w:hint="default"/>
      </w:rPr>
    </w:lvl>
    <w:lvl w:ilvl="1" w:tentative="0">
      <w:start w:val="2"/>
      <w:numFmt w:val="decimal"/>
      <w:lvlText w:val="%1.%2"/>
      <w:lvlJc w:val="left"/>
      <w:pPr>
        <w:ind w:left="1062" w:hanging="705"/>
      </w:pPr>
      <w:rPr>
        <w:rFonts w:hint="default"/>
      </w:rPr>
    </w:lvl>
    <w:lvl w:ilvl="2" w:tentative="0">
      <w:start w:val="4"/>
      <w:numFmt w:val="decimal"/>
      <w:lvlText w:val="%1.%2.%3"/>
      <w:lvlJc w:val="left"/>
      <w:pPr>
        <w:ind w:left="1434" w:hanging="720"/>
      </w:pPr>
      <w:rPr>
        <w:rFonts w:hint="default"/>
      </w:rPr>
    </w:lvl>
    <w:lvl w:ilvl="3" w:tentative="0">
      <w:start w:val="1"/>
      <w:numFmt w:val="decimal"/>
      <w:lvlText w:val="%1.%2.%3.%4"/>
      <w:lvlJc w:val="left"/>
      <w:pPr>
        <w:ind w:left="1791" w:hanging="720"/>
      </w:pPr>
      <w:rPr>
        <w:rFonts w:hint="default"/>
      </w:rPr>
    </w:lvl>
    <w:lvl w:ilvl="4" w:tentative="0">
      <w:start w:val="1"/>
      <w:numFmt w:val="decimal"/>
      <w:lvlText w:val="%1.%2.%3.%4.%5"/>
      <w:lvlJc w:val="left"/>
      <w:pPr>
        <w:ind w:left="2508" w:hanging="1080"/>
      </w:pPr>
      <w:rPr>
        <w:rFonts w:hint="default"/>
      </w:rPr>
    </w:lvl>
    <w:lvl w:ilvl="5" w:tentative="0">
      <w:start w:val="1"/>
      <w:numFmt w:val="decimal"/>
      <w:lvlText w:val="%1.%2.%3.%4.%5.%6"/>
      <w:lvlJc w:val="left"/>
      <w:pPr>
        <w:ind w:left="2865" w:hanging="1080"/>
      </w:pPr>
      <w:rPr>
        <w:rFonts w:hint="default"/>
      </w:rPr>
    </w:lvl>
    <w:lvl w:ilvl="6" w:tentative="0">
      <w:start w:val="1"/>
      <w:numFmt w:val="decimal"/>
      <w:lvlText w:val="%1.%2.%3.%4.%5.%6.%7"/>
      <w:lvlJc w:val="left"/>
      <w:pPr>
        <w:ind w:left="3582" w:hanging="1440"/>
      </w:pPr>
      <w:rPr>
        <w:rFonts w:hint="default"/>
      </w:rPr>
    </w:lvl>
    <w:lvl w:ilvl="7" w:tentative="0">
      <w:start w:val="1"/>
      <w:numFmt w:val="decimal"/>
      <w:lvlText w:val="%1.%2.%3.%4.%5.%6.%7.%8"/>
      <w:lvlJc w:val="left"/>
      <w:pPr>
        <w:ind w:left="3939" w:hanging="1440"/>
      </w:pPr>
      <w:rPr>
        <w:rFonts w:hint="default"/>
      </w:rPr>
    </w:lvl>
    <w:lvl w:ilvl="8" w:tentative="0">
      <w:start w:val="1"/>
      <w:numFmt w:val="decimal"/>
      <w:lvlText w:val="%1.%2.%3.%4.%5.%6.%7.%8.%9"/>
      <w:lvlJc w:val="left"/>
      <w:pPr>
        <w:ind w:left="4656" w:hanging="1800"/>
      </w:pPr>
      <w:rPr>
        <w:rFonts w:hint="default"/>
      </w:rPr>
    </w:lvl>
  </w:abstractNum>
  <w:abstractNum w:abstractNumId="16">
    <w:nsid w:val="7F943555"/>
    <w:multiLevelType w:val="multilevel"/>
    <w:tmpl w:val="7F943555"/>
    <w:lvl w:ilvl="0" w:tentative="0">
      <w:start w:val="5"/>
      <w:numFmt w:val="decimal"/>
      <w:lvlText w:val="%1"/>
      <w:lvlJc w:val="left"/>
      <w:pPr>
        <w:ind w:left="450" w:hanging="450"/>
      </w:pPr>
    </w:lvl>
    <w:lvl w:ilvl="1" w:tentative="0">
      <w:start w:val="3"/>
      <w:numFmt w:val="decimal"/>
      <w:lvlText w:val="%1.%2"/>
      <w:lvlJc w:val="left"/>
      <w:pPr>
        <w:ind w:left="450" w:hanging="45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1"/>
  </w:num>
  <w:num w:numId="2">
    <w:abstractNumId w:val="4"/>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0"/>
  </w:num>
  <w:num w:numId="23">
    <w:abstractNumId w:val="8"/>
  </w:num>
  <w:num w:numId="24">
    <w:abstractNumId w:val="2"/>
  </w:num>
  <w:num w:numId="25">
    <w:abstractNumId w:val="15"/>
  </w:num>
  <w:num w:numId="26">
    <w:abstractNumId w:val="0"/>
  </w:num>
  <w:num w:numId="27">
    <w:abstractNumId w:val="7"/>
  </w:num>
  <w:num w:numId="28">
    <w:abstractNumId w:val="6"/>
  </w:num>
  <w:num w:numId="29">
    <w:abstractNumId w:val="14"/>
  </w:num>
  <w:num w:numId="30">
    <w:abstractNumId w:val="3"/>
  </w:num>
  <w:num w:numId="31">
    <w:abstractNumId w:val="9"/>
  </w:num>
  <w:num w:numId="32">
    <w:abstractNumId w:val="12"/>
  </w:num>
  <w:num w:numId="33">
    <w:abstractNumId w:val="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9E"/>
    <w:rsid w:val="001E605D"/>
    <w:rsid w:val="003D7F07"/>
    <w:rsid w:val="006E6E20"/>
    <w:rsid w:val="008104CA"/>
    <w:rsid w:val="00AA4BDF"/>
    <w:rsid w:val="00D508D8"/>
    <w:rsid w:val="00E41A9E"/>
    <w:rsid w:val="00E47C96"/>
    <w:rsid w:val="014A2DD9"/>
    <w:rsid w:val="047375E4"/>
    <w:rsid w:val="058F58FF"/>
    <w:rsid w:val="064A1CA8"/>
    <w:rsid w:val="06C925AA"/>
    <w:rsid w:val="06F15AA5"/>
    <w:rsid w:val="079C1EB4"/>
    <w:rsid w:val="08191757"/>
    <w:rsid w:val="0BE2540C"/>
    <w:rsid w:val="0BF2164C"/>
    <w:rsid w:val="0C013622"/>
    <w:rsid w:val="0DF5588D"/>
    <w:rsid w:val="10584C3A"/>
    <w:rsid w:val="18C179CD"/>
    <w:rsid w:val="190B6EBF"/>
    <w:rsid w:val="1ABD41C4"/>
    <w:rsid w:val="1E5B441F"/>
    <w:rsid w:val="1EE833D9"/>
    <w:rsid w:val="1F6D61B8"/>
    <w:rsid w:val="257C53A7"/>
    <w:rsid w:val="26A60202"/>
    <w:rsid w:val="27170D6F"/>
    <w:rsid w:val="289E77EC"/>
    <w:rsid w:val="28DF17A9"/>
    <w:rsid w:val="28F65471"/>
    <w:rsid w:val="2967112A"/>
    <w:rsid w:val="2D9E1C33"/>
    <w:rsid w:val="2E720283"/>
    <w:rsid w:val="30C916BD"/>
    <w:rsid w:val="33D04B10"/>
    <w:rsid w:val="347B2CCE"/>
    <w:rsid w:val="3736112E"/>
    <w:rsid w:val="38C2040A"/>
    <w:rsid w:val="3A6D30B9"/>
    <w:rsid w:val="3C7F70D3"/>
    <w:rsid w:val="3CD32AA5"/>
    <w:rsid w:val="3CF43399"/>
    <w:rsid w:val="3EF15EDB"/>
    <w:rsid w:val="4156646C"/>
    <w:rsid w:val="41B3357F"/>
    <w:rsid w:val="432B1CC4"/>
    <w:rsid w:val="43C73B40"/>
    <w:rsid w:val="4481463B"/>
    <w:rsid w:val="48B32931"/>
    <w:rsid w:val="49077FE6"/>
    <w:rsid w:val="4B050CA9"/>
    <w:rsid w:val="4B7F49FA"/>
    <w:rsid w:val="52FB52AE"/>
    <w:rsid w:val="53620E89"/>
    <w:rsid w:val="5486329D"/>
    <w:rsid w:val="5774562F"/>
    <w:rsid w:val="59685550"/>
    <w:rsid w:val="5B2336AF"/>
    <w:rsid w:val="5CE112DB"/>
    <w:rsid w:val="5D0D455B"/>
    <w:rsid w:val="60002462"/>
    <w:rsid w:val="60E750C3"/>
    <w:rsid w:val="612358BE"/>
    <w:rsid w:val="624F4CCE"/>
    <w:rsid w:val="63181AA7"/>
    <w:rsid w:val="63AD6150"/>
    <w:rsid w:val="66C4797B"/>
    <w:rsid w:val="66DD20EA"/>
    <w:rsid w:val="673152EA"/>
    <w:rsid w:val="678A0557"/>
    <w:rsid w:val="6A6D0165"/>
    <w:rsid w:val="6A707A70"/>
    <w:rsid w:val="6BA02A3F"/>
    <w:rsid w:val="6D6A50B2"/>
    <w:rsid w:val="6D9914F3"/>
    <w:rsid w:val="6F643868"/>
    <w:rsid w:val="704459D8"/>
    <w:rsid w:val="758B02BC"/>
    <w:rsid w:val="75A82C1C"/>
    <w:rsid w:val="75FB71EF"/>
    <w:rsid w:val="771A36A5"/>
    <w:rsid w:val="777D7048"/>
    <w:rsid w:val="783B7D77"/>
    <w:rsid w:val="7BAB467E"/>
    <w:rsid w:val="7BD83B2F"/>
    <w:rsid w:val="7C972F41"/>
    <w:rsid w:val="7D1D5C9D"/>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2"/>
      <w:sz w:val="32"/>
      <w:szCs w:val="32"/>
    </w:rPr>
  </w:style>
  <w:style w:type="paragraph" w:styleId="3">
    <w:name w:val="heading 2"/>
    <w:basedOn w:val="1"/>
    <w:next w:val="1"/>
    <w:qFormat/>
    <w:uiPriority w:val="0"/>
    <w:pPr>
      <w:keepNext/>
      <w:outlineLvl w:val="1"/>
    </w:pPr>
    <w:rPr>
      <w:rFonts w:ascii="Tahoma" w:hAnsi="Tahoma" w:cs="Tahoma"/>
      <w:b/>
      <w:bCs/>
    </w:rPr>
  </w:style>
  <w:style w:type="paragraph" w:styleId="4">
    <w:name w:val="heading 3"/>
    <w:basedOn w:val="1"/>
    <w:next w:val="1"/>
    <w:qFormat/>
    <w:uiPriority w:val="0"/>
    <w:pPr>
      <w:keepNext/>
      <w:jc w:val="center"/>
      <w:outlineLvl w:val="2"/>
    </w:pPr>
    <w:rPr>
      <w:rFonts w:ascii="Monotype Corsiva" w:hAnsi="Monotype Corsiva" w:cs="Arial"/>
      <w:b/>
      <w:bCs/>
      <w:sz w:val="28"/>
    </w:rPr>
  </w:style>
  <w:style w:type="paragraph" w:styleId="5">
    <w:name w:val="heading 4"/>
    <w:basedOn w:val="1"/>
    <w:next w:val="1"/>
    <w:qFormat/>
    <w:uiPriority w:val="0"/>
    <w:pPr>
      <w:keepNext/>
      <w:outlineLvl w:val="3"/>
    </w:pPr>
    <w:rPr>
      <w:rFonts w:ascii="Comic Sans MS" w:hAnsi="Comic Sans MS"/>
      <w:b/>
      <w:bCs/>
      <w:sz w:val="22"/>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unhideWhenUsed/>
    <w:qFormat/>
    <w:uiPriority w:val="0"/>
    <w:rPr>
      <w:color w:val="000080"/>
      <w:u w:val="single"/>
    </w:rPr>
  </w:style>
  <w:style w:type="character" w:styleId="9">
    <w:name w:val="annotation reference"/>
    <w:semiHidden/>
    <w:qFormat/>
    <w:uiPriority w:val="0"/>
    <w:rPr>
      <w:sz w:val="16"/>
      <w:szCs w:val="16"/>
    </w:rPr>
  </w:style>
  <w:style w:type="character" w:styleId="10">
    <w:name w:val="Strong"/>
    <w:basedOn w:val="6"/>
    <w:qFormat/>
    <w:uiPriority w:val="22"/>
    <w:rPr>
      <w:b/>
      <w:bCs/>
    </w:rPr>
  </w:style>
  <w:style w:type="paragraph" w:styleId="11">
    <w:name w:val="annotation text"/>
    <w:basedOn w:val="1"/>
    <w:qFormat/>
    <w:uiPriority w:val="0"/>
    <w:rPr>
      <w:sz w:val="20"/>
      <w:szCs w:val="20"/>
    </w:rPr>
  </w:style>
  <w:style w:type="paragraph" w:styleId="12">
    <w:name w:val="Body Text Indent 2"/>
    <w:basedOn w:val="1"/>
    <w:qFormat/>
    <w:uiPriority w:val="0"/>
    <w:pPr>
      <w:spacing w:line="240" w:lineRule="atLeast"/>
      <w:ind w:firstLine="720"/>
      <w:jc w:val="both"/>
    </w:pPr>
    <w:rPr>
      <w:rFonts w:ascii="Book Antiqua" w:hAnsi="Book Antiqua"/>
      <w:szCs w:val="22"/>
    </w:rPr>
  </w:style>
  <w:style w:type="paragraph" w:styleId="13">
    <w:name w:val="Body Text Indent"/>
    <w:basedOn w:val="1"/>
    <w:qFormat/>
    <w:uiPriority w:val="0"/>
    <w:pPr>
      <w:ind w:firstLine="709"/>
      <w:jc w:val="both"/>
    </w:pPr>
    <w:rPr>
      <w:rFonts w:ascii="Book Antiqua" w:hAnsi="Book Antiqua" w:cs="Tahoma"/>
      <w:sz w:val="22"/>
    </w:rPr>
  </w:style>
  <w:style w:type="paragraph" w:styleId="14">
    <w:name w:val="Body Text 2"/>
    <w:basedOn w:val="1"/>
    <w:qFormat/>
    <w:uiPriority w:val="0"/>
    <w:pPr>
      <w:jc w:val="both"/>
    </w:pPr>
    <w:rPr>
      <w:sz w:val="26"/>
    </w:rPr>
  </w:style>
  <w:style w:type="paragraph" w:styleId="15">
    <w:name w:val="Body Text"/>
    <w:basedOn w:val="1"/>
    <w:qFormat/>
    <w:uiPriority w:val="0"/>
    <w:pPr>
      <w:spacing w:after="120"/>
    </w:pPr>
  </w:style>
  <w:style w:type="paragraph" w:styleId="16">
    <w:name w:val="caption"/>
    <w:basedOn w:val="1"/>
    <w:next w:val="1"/>
    <w:qFormat/>
    <w:uiPriority w:val="0"/>
    <w:pPr>
      <w:suppressLineNumbers/>
      <w:spacing w:before="120" w:after="120"/>
    </w:pPr>
    <w:rPr>
      <w:rFonts w:cs="Arial"/>
      <w:i/>
      <w:iCs/>
    </w:rPr>
  </w:style>
  <w:style w:type="paragraph" w:styleId="17">
    <w:name w:val="annotation subject"/>
    <w:basedOn w:val="11"/>
    <w:next w:val="11"/>
    <w:qFormat/>
    <w:uiPriority w:val="0"/>
    <w:rPr>
      <w:b/>
      <w:bCs/>
    </w:rPr>
  </w:style>
  <w:style w:type="paragraph" w:styleId="18">
    <w:name w:val="Balloon Text"/>
    <w:basedOn w:val="1"/>
    <w:qFormat/>
    <w:uiPriority w:val="99"/>
    <w:rPr>
      <w:rFonts w:ascii="Tahoma" w:hAnsi="Tahoma"/>
      <w:sz w:val="16"/>
      <w:szCs w:val="16"/>
    </w:rPr>
  </w:style>
  <w:style w:type="paragraph" w:styleId="19">
    <w:name w:val="List"/>
    <w:basedOn w:val="15"/>
    <w:qFormat/>
    <w:uiPriority w:val="0"/>
    <w:rPr>
      <w:rFonts w:cs="Arial"/>
    </w:rPr>
  </w:style>
  <w:style w:type="paragraph" w:styleId="20">
    <w:name w:val="footer"/>
    <w:basedOn w:val="1"/>
    <w:qFormat/>
    <w:uiPriority w:val="99"/>
    <w:pPr>
      <w:tabs>
        <w:tab w:val="center" w:pos="4419"/>
        <w:tab w:val="right" w:pos="8838"/>
      </w:tabs>
    </w:pPr>
  </w:style>
  <w:style w:type="paragraph" w:styleId="21">
    <w:name w:val="header"/>
    <w:basedOn w:val="1"/>
    <w:qFormat/>
    <w:uiPriority w:val="0"/>
    <w:pPr>
      <w:tabs>
        <w:tab w:val="center" w:pos="4419"/>
        <w:tab w:val="right" w:pos="8838"/>
      </w:tabs>
    </w:pPr>
    <w:rPr>
      <w:sz w:val="28"/>
      <w:szCs w:val="20"/>
    </w:rPr>
  </w:style>
  <w:style w:type="paragraph" w:styleId="22">
    <w:name w:val="Normal (Web)"/>
    <w:basedOn w:val="1"/>
    <w:unhideWhenUsed/>
    <w:qFormat/>
    <w:uiPriority w:val="99"/>
    <w:pPr>
      <w:spacing w:beforeAutospacing="1" w:afterAutospacing="1"/>
    </w:pPr>
  </w:style>
  <w:style w:type="paragraph" w:styleId="23">
    <w:name w:val="Title"/>
    <w:basedOn w:val="1"/>
    <w:next w:val="15"/>
    <w:qFormat/>
    <w:uiPriority w:val="0"/>
    <w:pPr>
      <w:keepNext/>
      <w:spacing w:before="240" w:after="120"/>
    </w:pPr>
    <w:rPr>
      <w:rFonts w:ascii="Liberation Sans" w:hAnsi="Liberation Sans" w:eastAsia="Microsoft YaHei" w:cs="Mangal"/>
      <w:sz w:val="28"/>
      <w:szCs w:val="28"/>
    </w:rPr>
  </w:style>
  <w:style w:type="table" w:styleId="24">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Texto de comentário Char"/>
    <w:basedOn w:val="6"/>
    <w:qFormat/>
    <w:uiPriority w:val="0"/>
  </w:style>
  <w:style w:type="character" w:customStyle="1" w:styleId="26">
    <w:name w:val="Assunto do comentário Char"/>
    <w:qFormat/>
    <w:uiPriority w:val="0"/>
    <w:rPr>
      <w:b/>
      <w:bCs/>
    </w:rPr>
  </w:style>
  <w:style w:type="character" w:customStyle="1" w:styleId="27">
    <w:name w:val="Texto de balão Char"/>
    <w:qFormat/>
    <w:uiPriority w:val="99"/>
    <w:rPr>
      <w:rFonts w:ascii="Tahoma" w:hAnsi="Tahoma" w:cs="Tahoma"/>
      <w:sz w:val="16"/>
      <w:szCs w:val="16"/>
    </w:rPr>
  </w:style>
  <w:style w:type="character" w:customStyle="1" w:styleId="28">
    <w:name w:val="Corpo de texto Char"/>
    <w:qFormat/>
    <w:uiPriority w:val="0"/>
    <w:rPr>
      <w:sz w:val="24"/>
      <w:szCs w:val="24"/>
    </w:rPr>
  </w:style>
  <w:style w:type="character" w:customStyle="1" w:styleId="29">
    <w:name w:val="Cabeçalho Char"/>
    <w:qFormat/>
    <w:uiPriority w:val="0"/>
    <w:rPr>
      <w:sz w:val="28"/>
    </w:rPr>
  </w:style>
  <w:style w:type="character" w:customStyle="1" w:styleId="30">
    <w:name w:val="Link da Internet"/>
    <w:unhideWhenUsed/>
    <w:qFormat/>
    <w:uiPriority w:val="99"/>
    <w:rPr>
      <w:color w:val="0000FF"/>
      <w:u w:val="none"/>
    </w:rPr>
  </w:style>
  <w:style w:type="character" w:customStyle="1" w:styleId="31">
    <w:name w:val="apple-converted-space"/>
    <w:qFormat/>
    <w:uiPriority w:val="0"/>
  </w:style>
  <w:style w:type="character" w:customStyle="1" w:styleId="32">
    <w:name w:val="Rodapé Char"/>
    <w:qFormat/>
    <w:uiPriority w:val="99"/>
    <w:rPr>
      <w:sz w:val="24"/>
      <w:szCs w:val="24"/>
    </w:rPr>
  </w:style>
  <w:style w:type="character" w:customStyle="1" w:styleId="33">
    <w:name w:val="tex3"/>
    <w:basedOn w:val="6"/>
    <w:qFormat/>
    <w:uiPriority w:val="0"/>
  </w:style>
  <w:style w:type="paragraph" w:customStyle="1" w:styleId="34">
    <w:name w:val="Índice"/>
    <w:basedOn w:val="1"/>
    <w:qFormat/>
    <w:uiPriority w:val="0"/>
    <w:pPr>
      <w:suppressLineNumbers/>
    </w:pPr>
    <w:rPr>
      <w:rFonts w:cs="Arial"/>
    </w:rPr>
  </w:style>
  <w:style w:type="paragraph" w:customStyle="1" w:styleId="35">
    <w:name w:val="Cabeçalho e Rodapé"/>
    <w:basedOn w:val="1"/>
    <w:qFormat/>
    <w:uiPriority w:val="0"/>
  </w:style>
  <w:style w:type="paragraph" w:customStyle="1" w:styleId="36">
    <w:name w:val="Título1"/>
    <w:basedOn w:val="1"/>
    <w:next w:val="15"/>
    <w:qFormat/>
    <w:uiPriority w:val="0"/>
    <w:pPr>
      <w:keepNext/>
      <w:spacing w:before="240" w:after="120"/>
    </w:pPr>
    <w:rPr>
      <w:rFonts w:ascii="Liberation Sans" w:hAnsi="Liberation Sans" w:eastAsia="Microsoft YaHei" w:cs="Arial"/>
      <w:sz w:val="28"/>
      <w:szCs w:val="28"/>
    </w:rPr>
  </w:style>
  <w:style w:type="paragraph" w:styleId="37">
    <w:name w:val="No Spacing"/>
    <w:qFormat/>
    <w:uiPriority w:val="1"/>
    <w:pPr>
      <w:suppressAutoHyphens/>
    </w:pPr>
    <w:rPr>
      <w:rFonts w:ascii="Times New Roman" w:hAnsi="Times New Roman" w:eastAsia="Times New Roman" w:cs="Times New Roman"/>
      <w:sz w:val="24"/>
      <w:szCs w:val="24"/>
      <w:lang w:val="pt-BR" w:eastAsia="zh-CN" w:bidi="ar-SA"/>
    </w:rPr>
  </w:style>
  <w:style w:type="paragraph" w:customStyle="1" w:styleId="38">
    <w:name w:val="western"/>
    <w:basedOn w:val="1"/>
    <w:qFormat/>
    <w:uiPriority w:val="0"/>
    <w:pPr>
      <w:spacing w:beforeAutospacing="1" w:afterAutospacing="1"/>
    </w:pPr>
  </w:style>
  <w:style w:type="paragraph" w:styleId="39">
    <w:name w:val="List Paragraph"/>
    <w:basedOn w:val="1"/>
    <w:qFormat/>
    <w:uiPriority w:val="99"/>
    <w:pPr>
      <w:ind w:left="720"/>
      <w:contextualSpacing/>
    </w:pPr>
    <w:rPr>
      <w:rFonts w:ascii="Ecofont_Spranq_eco_Sans" w:hAnsi="Ecofont_Spranq_eco_Sans" w:cs="Tahoma"/>
    </w:rPr>
  </w:style>
  <w:style w:type="paragraph" w:customStyle="1" w:styleId="40">
    <w:name w:val="Parágrafo da Lista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41">
    <w:name w:val="Conteúdo do quadro"/>
    <w:basedOn w:val="1"/>
    <w:qFormat/>
    <w:uiPriority w:val="0"/>
  </w:style>
  <w:style w:type="paragraph" w:styleId="42">
    <w:name w:val="Quote"/>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lang w:eastAsia="en-US"/>
    </w:rPr>
  </w:style>
  <w:style w:type="paragraph" w:customStyle="1" w:styleId="43">
    <w:name w:val="Nivel1"/>
    <w:basedOn w:val="2"/>
    <w:next w:val="1"/>
    <w:qFormat/>
    <w:uiPriority w:val="0"/>
    <w:pPr>
      <w:numPr>
        <w:ilvl w:val="0"/>
        <w:numId w:val="1"/>
      </w:numPr>
      <w:spacing w:before="480" w:after="120" w:line="276" w:lineRule="auto"/>
      <w:jc w:val="both"/>
    </w:pPr>
    <w:rPr>
      <w:rFonts w:ascii="Arial" w:hAnsi="Arial" w:cs="Arial"/>
      <w:color w:val="000000"/>
    </w:rPr>
  </w:style>
  <w:style w:type="paragraph" w:customStyle="1" w:styleId="44">
    <w:name w:val="Standard"/>
    <w:qFormat/>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45">
    <w:name w:val="Nivel 2"/>
    <w:basedOn w:val="1"/>
    <w:qFormat/>
    <w:uiPriority w:val="0"/>
    <w:pPr>
      <w:spacing w:before="120" w:after="120" w:line="276" w:lineRule="auto"/>
      <w:jc w:val="both"/>
    </w:pPr>
    <w:rPr>
      <w:rFonts w:ascii="Arial" w:hAnsi="Arial" w:cs="Arial"/>
      <w:color w:val="000000"/>
    </w:rPr>
  </w:style>
  <w:style w:type="paragraph" w:customStyle="1" w:styleId="46">
    <w:name w:val="Nivel 3"/>
    <w:basedOn w:val="39"/>
    <w:qFormat/>
    <w:uiPriority w:val="0"/>
    <w:pPr>
      <w:tabs>
        <w:tab w:val="left" w:pos="360"/>
      </w:tabs>
      <w:spacing w:before="120" w:after="120" w:line="276" w:lineRule="auto"/>
      <w:ind w:left="425"/>
      <w:jc w:val="both"/>
    </w:pPr>
    <w:rPr>
      <w:rFonts w:ascii="Arial" w:hAnsi="Arial" w:eastAsia="Times New Roman" w:cs="Arial"/>
      <w:sz w:val="20"/>
      <w:szCs w:val="20"/>
      <w:lang w:eastAsia="pt-BR"/>
    </w:rPr>
  </w:style>
  <w:style w:type="paragraph" w:customStyle="1" w:styleId="47">
    <w:name w:val="citação 2"/>
    <w:basedOn w:val="42"/>
    <w:qFormat/>
    <w:uiPriority w:val="0"/>
    <w:pPr>
      <w:suppressAutoHyphens/>
      <w:autoSpaceDN w:val="0"/>
    </w:pPr>
    <w:rPr>
      <w:kern w:val="3"/>
      <w:szCs w:val="20"/>
      <w:lang w:eastAsia="zh-CN" w:bidi="hi-IN"/>
    </w:rPr>
  </w:style>
  <w:style w:type="paragraph" w:customStyle="1" w:styleId="48">
    <w:name w:val="Nível 2 Opcional"/>
    <w:basedOn w:val="45"/>
    <w:qFormat/>
    <w:uiPriority w:val="0"/>
    <w:pPr>
      <w:spacing w:before="120" w:after="120" w:line="276" w:lineRule="auto"/>
      <w:ind w:left="432" w:hanging="432"/>
      <w:jc w:val="both"/>
    </w:pPr>
    <w:rPr>
      <w:rFonts w:ascii="Arial" w:hAnsi="Arial" w:eastAsia="Times New Roman" w:cs="Arial"/>
      <w:i/>
      <w:color w:val="FF0000"/>
      <w:sz w:val="20"/>
      <w:szCs w:val="20"/>
      <w:lang w:eastAsia="pt-BR"/>
    </w:rPr>
  </w:style>
  <w:style w:type="paragraph" w:customStyle="1" w:styleId="49">
    <w:name w:val="PADRÃO"/>
    <w:qFormat/>
    <w:uiPriority w:val="0"/>
    <w:pPr>
      <w:keepNext/>
      <w:widowControl w:val="0"/>
      <w:shd w:val="clear" w:color="auto" w:fill="FFFFFF"/>
      <w:suppressAutoHyphens/>
      <w:spacing w:before="119" w:after="119" w:line="276" w:lineRule="auto"/>
      <w:ind w:firstLine="567"/>
      <w:jc w:val="both"/>
    </w:pPr>
    <w:rPr>
      <w:rFonts w:ascii="Ecofont_Spranq_eco_Sans" w:hAnsi="Ecofont_Spranq_eco_Sans" w:eastAsia="WenQuanYi Micro Hei" w:cs="Lohit Hindi"/>
      <w:sz w:val="20"/>
      <w:szCs w:val="24"/>
      <w:lang w:val="pt-BR" w:eastAsia="zh-CN" w:bidi="hi-IN"/>
    </w:rPr>
  </w:style>
  <w:style w:type="paragraph" w:customStyle="1" w:styleId="50">
    <w:name w:val="Grade Colorida - Ênfase 11"/>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lang w:val="zh-CN"/>
    </w:rPr>
  </w:style>
  <w:style w:type="paragraph" w:customStyle="1" w:styleId="51">
    <w:name w:val="Nível 3 Opcional"/>
    <w:basedOn w:val="46"/>
    <w:qFormat/>
    <w:uiPriority w:val="0"/>
    <w:pPr>
      <w:numPr>
        <w:ilvl w:val="2"/>
        <w:numId w:val="1"/>
      </w:numPr>
      <w:contextualSpacing w:val="0"/>
    </w:pPr>
    <w:rPr>
      <w:i/>
      <w:iCs/>
      <w:color w:val="FF0000"/>
    </w:rPr>
  </w:style>
  <w:style w:type="character" w:customStyle="1" w:styleId="52">
    <w:name w:val="normaltextrun"/>
    <w:basedOn w:val="6"/>
    <w:qFormat/>
    <w:uiPriority w:val="0"/>
  </w:style>
  <w:style w:type="paragraph" w:customStyle="1" w:styleId="53">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AEAF5-6F6C-4996-A331-0FF53BBC99B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4221</Words>
  <Characters>22797</Characters>
  <Lines>189</Lines>
  <Paragraphs>53</Paragraphs>
  <TotalTime>3</TotalTime>
  <ScaleCrop>false</ScaleCrop>
  <LinksUpToDate>false</LinksUpToDate>
  <CharactersWithSpaces>26965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antonio.braga</cp:lastModifiedBy>
  <cp:lastPrinted>2019-07-29T16:16:00Z</cp:lastPrinted>
  <dcterms:modified xsi:type="dcterms:W3CDTF">2024-01-08T14:47:48Z</dcterms:modified>
  <dc:title>PROCESSO N° 0683/08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2070-12.2.0.13359</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C69E2D65B7CC41F08C670B3DA1A3D0DF</vt:lpwstr>
  </property>
</Properties>
</file>