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p>
    <w:p>
      <w:pPr>
        <w:overflowPunct w:val="0"/>
        <w:jc w:val="center"/>
        <w:rPr>
          <w:rFonts w:hint="default" w:ascii="Calibri" w:hAnsi="Calibri" w:cs="Calibri"/>
          <w:sz w:val="32"/>
          <w:szCs w:val="32"/>
          <w:lang w:val="pt-BR"/>
        </w:rPr>
      </w:pPr>
      <w:r>
        <w:rPr>
          <w:rFonts w:hint="default" w:ascii="Calibri" w:hAnsi="Calibri" w:cs="Calibri"/>
          <w:b/>
          <w:color w:val="000000" w:themeColor="text1"/>
          <w:sz w:val="32"/>
          <w:szCs w:val="32"/>
          <w14:textFill>
            <w14:solidFill>
              <w14:schemeClr w14:val="tx1"/>
            </w14:solidFill>
          </w14:textFill>
        </w:rPr>
        <w:t xml:space="preserve">TERMO DE REFERÊNCIA </w:t>
      </w:r>
      <w:r>
        <w:rPr>
          <w:rFonts w:hint="default" w:ascii="Calibri" w:hAnsi="Calibri" w:cs="Calibri"/>
          <w:b/>
          <w:color w:val="000000" w:themeColor="text1"/>
          <w:sz w:val="32"/>
          <w:szCs w:val="32"/>
          <w:lang w:val="pt-BR"/>
          <w14:textFill>
            <w14:solidFill>
              <w14:schemeClr w14:val="tx1"/>
            </w14:solidFill>
          </w14:textFill>
        </w:rPr>
        <w:t>PARA SERVIÇOS COMUNS DE ENGENHARIA</w:t>
      </w:r>
    </w:p>
    <w:p>
      <w:pPr>
        <w:overflowPunct w:val="0"/>
        <w:jc w:val="center"/>
        <w:rPr>
          <w:rFonts w:hint="default" w:ascii="Calibri" w:hAnsi="Calibri" w:cs="Calibri"/>
          <w:b/>
          <w:color w:val="000000" w:themeColor="text1"/>
          <w:sz w:val="20"/>
          <w:szCs w:val="20"/>
          <w:u w:val="single"/>
          <w14:textFill>
            <w14:solidFill>
              <w14:schemeClr w14:val="tx1"/>
            </w14:solidFill>
          </w14:textFill>
        </w:rPr>
      </w:pPr>
    </w:p>
    <w:p>
      <w:pPr>
        <w:tabs>
          <w:tab w:val="left" w:pos="5220"/>
        </w:tabs>
        <w:overflowPunct w:val="0"/>
        <w:rPr>
          <w:rFonts w:hint="default" w:ascii="Calibri" w:hAnsi="Calibri" w:cs="Calibri"/>
          <w:b/>
          <w:color w:val="000000" w:themeColor="text1"/>
          <w:sz w:val="20"/>
          <w:szCs w:val="20"/>
          <w14:textFill>
            <w14:solidFill>
              <w14:schemeClr w14:val="tx1"/>
            </w14:solidFill>
          </w14:textFill>
        </w:rPr>
      </w:pPr>
    </w:p>
    <w:p>
      <w:pPr>
        <w:pStyle w:val="39"/>
        <w:numPr>
          <w:ilvl w:val="0"/>
          <w:numId w:val="2"/>
        </w:numPr>
        <w:tabs>
          <w:tab w:val="left" w:pos="567"/>
        </w:tabs>
        <w:overflowPunct w:val="0"/>
        <w:ind w:left="240" w:leftChars="0" w:firstLineChars="0"/>
        <w:jc w:val="both"/>
        <w:rPr>
          <w:rFonts w:hint="default" w:ascii="Calibri" w:hAnsi="Calibri" w:cs="Calibri"/>
          <w:b/>
          <w:color w:val="000000" w:themeColor="text1"/>
          <w:sz w:val="20"/>
          <w:szCs w:val="20"/>
          <w14:textFill>
            <w14:solidFill>
              <w14:schemeClr w14:val="tx1"/>
            </w14:solidFill>
          </w14:textFill>
        </w:rPr>
      </w:pPr>
      <w:r>
        <w:rPr>
          <w:rFonts w:hint="default" w:ascii="Calibri" w:hAnsi="Calibri" w:cs="Calibri"/>
          <w:b/>
          <w:color w:val="000000" w:themeColor="text1"/>
          <w:sz w:val="20"/>
          <w:szCs w:val="20"/>
          <w14:textFill>
            <w14:solidFill>
              <w14:schemeClr w14:val="tx1"/>
            </w14:solidFill>
          </w14:textFill>
        </w:rPr>
        <w:t>DO OBJETO</w:t>
      </w:r>
    </w:p>
    <w:p>
      <w:pPr>
        <w:pStyle w:val="39"/>
        <w:tabs>
          <w:tab w:val="left" w:pos="567"/>
        </w:tabs>
        <w:overflowPunct w:val="0"/>
        <w:ind w:left="0"/>
        <w:jc w:val="both"/>
        <w:rPr>
          <w:rFonts w:hint="default" w:ascii="Calibri" w:hAnsi="Calibri" w:cs="Calibri"/>
          <w:b/>
          <w:color w:val="000000" w:themeColor="text1"/>
          <w:sz w:val="20"/>
          <w:szCs w:val="20"/>
          <w:u w:val="single"/>
          <w14:textFill>
            <w14:solidFill>
              <w14:schemeClr w14:val="tx1"/>
            </w14:solidFill>
          </w14:textFill>
        </w:rPr>
      </w:pPr>
    </w:p>
    <w:p>
      <w:pPr>
        <w:pStyle w:val="39"/>
        <w:overflowPunct w:val="0"/>
        <w:ind w:left="0"/>
        <w:jc w:val="both"/>
        <w:rPr>
          <w:rFonts w:hint="default" w:ascii="Calibri" w:hAnsi="Calibri" w:cs="Calibri"/>
          <w:sz w:val="20"/>
          <w:szCs w:val="20"/>
        </w:rPr>
      </w:pPr>
      <w:r>
        <w:rPr>
          <w:rFonts w:hint="default" w:ascii="Calibri" w:hAnsi="Calibri" w:cs="Calibri"/>
          <w:color w:val="000000" w:themeColor="text1"/>
          <w:sz w:val="20"/>
          <w:szCs w:val="20"/>
          <w14:textFill>
            <w14:solidFill>
              <w14:schemeClr w14:val="tx1"/>
            </w14:solidFill>
          </w14:textFill>
        </w:rPr>
        <w:t>1.1 Contratação de empresa especializada para os serviços de XXXXXXXXXXXXXXXXXXXXXX, para atender as necessidades do XXXXXXXXXXXXXXXX, pelo período de XX (XXXXX) meses, conforme condições, especificações, exigências e estimativas estabelecidas nos autos, bem como nas demais cláusulas deste instrumento.</w:t>
      </w:r>
    </w:p>
    <w:p>
      <w:pPr>
        <w:pStyle w:val="39"/>
        <w:overflowPunct w:val="0"/>
        <w:ind w:left="0"/>
        <w:jc w:val="both"/>
        <w:rPr>
          <w:rFonts w:hint="default" w:ascii="Calibri" w:hAnsi="Calibri" w:cs="Calibri"/>
          <w:color w:val="000000" w:themeColor="text1"/>
          <w:sz w:val="20"/>
          <w:szCs w:val="20"/>
          <w14:textFill>
            <w14:solidFill>
              <w14:schemeClr w14:val="tx1"/>
            </w14:solidFill>
          </w14:textFill>
        </w:rPr>
      </w:pPr>
    </w:p>
    <w:tbl>
      <w:tblPr>
        <w:tblStyle w:val="24"/>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565"/>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1.2</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Requisitante:</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w:t>
            </w:r>
            <w:r>
              <w:rPr>
                <w:rFonts w:hint="default" w:ascii="Calibri" w:hAnsi="Calibri" w:cs="Calibri"/>
                <w:color w:val="000000" w:themeColor="text1"/>
                <w:sz w:val="20"/>
                <w:szCs w:val="20"/>
                <w14:textFill>
                  <w14:solidFill>
                    <w14:schemeClr w14:val="tx1"/>
                  </w14:solidFill>
                </w14:textFill>
              </w:rPr>
              <w:t>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1.3</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Fundamentação legal:</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Lei nº14.133/21, 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1.4</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Período:</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1.5</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Tipo:</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xxxxxxxxxxxxxxxxxxxxxxxxxx</w:t>
            </w:r>
          </w:p>
        </w:tc>
      </w:tr>
    </w:tbl>
    <w:p>
      <w:pPr>
        <w:rPr>
          <w:rFonts w:hint="default" w:ascii="Calibri" w:hAnsi="Calibri" w:cs="Calibri"/>
          <w:sz w:val="20"/>
          <w:szCs w:val="20"/>
        </w:rPr>
      </w:pPr>
    </w:p>
    <w:p>
      <w:pPr>
        <w:pStyle w:val="43"/>
        <w:numPr>
          <w:ilvl w:val="0"/>
          <w:numId w:val="2"/>
        </w:numPr>
        <w:ind w:left="240" w:leftChars="0" w:firstLine="0" w:firstLineChars="0"/>
        <w:rPr>
          <w:rFonts w:hint="default" w:ascii="Calibri" w:hAnsi="Calibri" w:cs="Calibri"/>
          <w:color w:val="auto"/>
          <w:sz w:val="20"/>
          <w:szCs w:val="20"/>
        </w:rPr>
      </w:pPr>
      <w:bookmarkStart w:id="0" w:name="_Hlk82471863"/>
      <w:r>
        <w:rPr>
          <w:rFonts w:hint="default" w:ascii="Calibri" w:hAnsi="Calibri" w:cs="Calibri"/>
          <w:color w:val="auto"/>
          <w:sz w:val="20"/>
          <w:szCs w:val="20"/>
        </w:rPr>
        <w:t>DAS CONDIÇÕES GERAIS DA CONTRATAÇÃO (art. 6º, XXIII, “a” e “i” da Lei n. 14.133/2021).</w:t>
      </w:r>
    </w:p>
    <w:p>
      <w:pPr>
        <w:pStyle w:val="39"/>
        <w:numPr>
          <w:ilvl w:val="1"/>
          <w:numId w:val="3"/>
        </w:numPr>
        <w:spacing w:after="0" w:line="276" w:lineRule="auto"/>
        <w:jc w:val="both"/>
        <w:rPr>
          <w:rFonts w:hint="default" w:ascii="Calibri" w:hAnsi="Calibri" w:cs="Calibri"/>
          <w:iCs/>
          <w:sz w:val="20"/>
          <w:szCs w:val="20"/>
        </w:rPr>
      </w:pPr>
      <w:r>
        <w:rPr>
          <w:rFonts w:hint="default" w:ascii="Calibri" w:hAnsi="Calibri" w:cs="Calibri"/>
          <w:sz w:val="20"/>
          <w:szCs w:val="20"/>
        </w:rPr>
        <w:t>Contratação de</w:t>
      </w:r>
      <w:r>
        <w:rPr>
          <w:rFonts w:hint="default" w:ascii="Calibri" w:hAnsi="Calibri" w:cs="Calibri"/>
          <w:color w:val="FF0000"/>
          <w:sz w:val="20"/>
          <w:szCs w:val="20"/>
        </w:rPr>
        <w:t>...........................................................</w:t>
      </w:r>
      <w:r>
        <w:rPr>
          <w:rFonts w:hint="default" w:ascii="Calibri" w:hAnsi="Calibri" w:cs="Calibri"/>
          <w:bCs/>
          <w:color w:val="FF0000"/>
          <w:sz w:val="20"/>
          <w:szCs w:val="20"/>
        </w:rPr>
        <w:t>,</w:t>
      </w:r>
      <w:r>
        <w:rPr>
          <w:rFonts w:hint="default" w:ascii="Calibri" w:hAnsi="Calibri" w:cs="Calibri"/>
          <w:sz w:val="20"/>
          <w:szCs w:val="20"/>
        </w:rPr>
        <w:t xml:space="preserve"> nos termos da tabela abaixo, conforme condições e exigências estabelecidas neste instrumento</w:t>
      </w:r>
      <w:r>
        <w:rPr>
          <w:rFonts w:hint="default" w:ascii="Calibri" w:hAnsi="Calibri" w:cs="Calibri"/>
          <w:iCs/>
          <w:sz w:val="20"/>
          <w:szCs w:val="20"/>
        </w:rPr>
        <w:t>.</w:t>
      </w:r>
    </w:p>
    <w:p>
      <w:pPr>
        <w:pStyle w:val="39"/>
        <w:spacing w:after="0" w:line="276" w:lineRule="auto"/>
        <w:ind w:left="432"/>
        <w:jc w:val="both"/>
        <w:rPr>
          <w:rFonts w:hint="default" w:ascii="Calibri" w:hAnsi="Calibri" w:cs="Calibri"/>
          <w:i/>
          <w:iCs/>
          <w:sz w:val="20"/>
          <w:szCs w:val="20"/>
        </w:rPr>
      </w:pPr>
    </w:p>
    <w:p>
      <w:pPr>
        <w:pStyle w:val="39"/>
        <w:spacing w:after="0" w:line="276" w:lineRule="auto"/>
        <w:ind w:left="858"/>
        <w:jc w:val="both"/>
        <w:rPr>
          <w:rFonts w:hint="default" w:ascii="Calibri" w:hAnsi="Calibri" w:cs="Calibri"/>
          <w:b/>
          <w:iCs/>
          <w:sz w:val="20"/>
          <w:szCs w:val="20"/>
        </w:rPr>
      </w:pPr>
    </w:p>
    <w:tbl>
      <w:tblPr>
        <w:tblStyle w:val="7"/>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686"/>
        <w:gridCol w:w="1134"/>
        <w:gridCol w:w="1134"/>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bCs/>
                <w:color w:val="000000"/>
                <w:sz w:val="20"/>
                <w:szCs w:val="20"/>
              </w:rPr>
            </w:pPr>
            <w:r>
              <w:rPr>
                <w:rFonts w:hint="default" w:ascii="Calibri" w:hAnsi="Calibri" w:cs="Calibri"/>
                <w:b/>
                <w:bCs/>
                <w:color w:val="000000"/>
                <w:sz w:val="20"/>
                <w:szCs w:val="20"/>
              </w:rPr>
              <w:t>ITEM</w:t>
            </w:r>
          </w:p>
          <w:p>
            <w:pPr>
              <w:widowControl w:val="0"/>
              <w:suppressAutoHyphens/>
              <w:spacing w:after="0" w:line="276" w:lineRule="auto"/>
              <w:jc w:val="center"/>
              <w:rPr>
                <w:rFonts w:hint="default" w:ascii="Calibri" w:hAnsi="Calibri" w:cs="Calibri"/>
                <w:b/>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ESPECIFICAÇÃO</w:t>
            </w: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CATSER</w:t>
            </w: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UNIDADE DE MEDIDA</w:t>
            </w:r>
          </w:p>
        </w:tc>
        <w:tc>
          <w:tcPr>
            <w:tcW w:w="155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bCs/>
                <w:sz w:val="20"/>
                <w:szCs w:val="20"/>
              </w:rPr>
            </w:pPr>
            <w:r>
              <w:rPr>
                <w:rFonts w:hint="default" w:ascii="Calibri" w:hAnsi="Calibri" w:cs="Calibri"/>
                <w:b/>
                <w:bCs/>
                <w:sz w:val="20"/>
                <w:szCs w:val="20"/>
              </w:rPr>
              <w:t>QUANTIDADE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1</w:t>
            </w:r>
          </w:p>
        </w:tc>
        <w:tc>
          <w:tcPr>
            <w:tcW w:w="368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2</w:t>
            </w:r>
          </w:p>
        </w:tc>
        <w:tc>
          <w:tcPr>
            <w:tcW w:w="368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3</w:t>
            </w:r>
          </w:p>
        </w:tc>
        <w:tc>
          <w:tcPr>
            <w:tcW w:w="368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w:t>
            </w:r>
          </w:p>
        </w:tc>
        <w:tc>
          <w:tcPr>
            <w:tcW w:w="3686" w:type="dxa"/>
            <w:tcBorders>
              <w:top w:val="single" w:color="000000" w:sz="4" w:space="0"/>
              <w:left w:val="single" w:color="000000" w:sz="4" w:space="0"/>
              <w:bottom w:val="single" w:color="000000" w:sz="4" w:space="0"/>
              <w:right w:val="single" w:color="000000" w:sz="4" w:space="0"/>
            </w:tcBorders>
          </w:tcPr>
          <w:p>
            <w:pPr>
              <w:jc w:val="center"/>
              <w:rPr>
                <w:rFonts w:hint="default" w:ascii="Calibri" w:hAnsi="Calibri" w:cs="Calibri"/>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bl>
    <w:p>
      <w:pPr>
        <w:pStyle w:val="42"/>
        <w:spacing w:before="0" w:line="276" w:lineRule="auto"/>
        <w:rPr>
          <w:rFonts w:hint="default" w:ascii="Calibri" w:hAnsi="Calibri" w:cs="Calibri"/>
          <w:szCs w:val="20"/>
        </w:rPr>
      </w:pPr>
      <w:r>
        <w:rPr>
          <w:rFonts w:hint="default" w:ascii="Calibri" w:hAnsi="Calibri" w:cs="Calibri"/>
          <w:b/>
          <w:szCs w:val="20"/>
        </w:rPr>
        <w:t xml:space="preserve">Tabela: </w:t>
      </w:r>
      <w:r>
        <w:rPr>
          <w:rFonts w:hint="default" w:ascii="Calibri" w:hAnsi="Calibri" w:cs="Calibri"/>
          <w:szCs w:val="20"/>
        </w:rPr>
        <w:t xml:space="preserve">A tabela acima é meramente ilustrativa, podendo ser livremente alterada conforme o caso concreto. </w:t>
      </w:r>
    </w:p>
    <w:p>
      <w:pPr>
        <w:pStyle w:val="42"/>
        <w:spacing w:before="0" w:line="276" w:lineRule="auto"/>
        <w:rPr>
          <w:rFonts w:hint="default" w:ascii="Calibri" w:hAnsi="Calibri" w:cs="Calibri"/>
          <w:szCs w:val="20"/>
        </w:rPr>
      </w:pPr>
      <w:r>
        <w:rPr>
          <w:rFonts w:hint="default" w:ascii="Calibri" w:hAnsi="Calibri" w:cs="Calibri"/>
          <w:b/>
          <w:szCs w:val="20"/>
        </w:rPr>
        <w:t>Parcelamento:</w:t>
      </w:r>
      <w:r>
        <w:rPr>
          <w:rFonts w:hint="default" w:ascii="Calibri" w:hAnsi="Calibri" w:cs="Calibri"/>
          <w:szCs w:val="20"/>
        </w:rPr>
        <w:t xml:space="preserve"> A justificativa para o parcelamento ou não do objeto deve constar do Estudo Técnico Preliminar (art. 18, §1º, VIII, da Lei nº 14.133/2021). Os serviços, como regra, devem atender ao parcelamento quando for tecnicamente viável e economicamente vantajoso (art. 47, inciso II, da Lei nº 14.133/2021). </w:t>
      </w:r>
    </w:p>
    <w:p>
      <w:pPr>
        <w:pStyle w:val="42"/>
        <w:spacing w:before="0" w:line="276" w:lineRule="auto"/>
        <w:rPr>
          <w:rFonts w:hint="default" w:ascii="Calibri" w:hAnsi="Calibri" w:cs="Calibri"/>
          <w:szCs w:val="20"/>
        </w:rPr>
      </w:pPr>
      <w:r>
        <w:rPr>
          <w:rFonts w:hint="default" w:ascii="Calibri" w:hAnsi="Calibri" w:cs="Calibri"/>
          <w:szCs w:val="20"/>
        </w:rPr>
        <w:t xml:space="preserve">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 </w:t>
      </w:r>
    </w:p>
    <w:p>
      <w:pPr>
        <w:pStyle w:val="42"/>
        <w:spacing w:before="0" w:line="276" w:lineRule="auto"/>
        <w:rPr>
          <w:rFonts w:hint="default" w:ascii="Calibri" w:hAnsi="Calibri" w:cs="Calibri"/>
          <w:szCs w:val="20"/>
        </w:rPr>
      </w:pPr>
      <w:r>
        <w:rPr>
          <w:rFonts w:hint="default" w:ascii="Calibri" w:hAnsi="Calibri" w:cs="Calibri"/>
          <w:b/>
          <w:bCs/>
          <w:szCs w:val="20"/>
        </w:rPr>
        <w:t>Building Information Modelling – BIM</w:t>
      </w:r>
      <w:r>
        <w:rPr>
          <w:rFonts w:hint="default" w:ascii="Calibri" w:hAnsi="Calibri" w:cs="Calibri"/>
          <w:szCs w:val="20"/>
        </w:rPr>
        <w:t xml:space="preserve">: O Decreto nº 10.306/2020 trata da utilização do Building Information Modelling (BIM) na execução direta ou indireta de obras e serviços de engenharia realizada pelos órgãos e pelas entidades da administração pública federal, conforme Estratégia BIM BR, instituída pelo Decreto nº 9.983, de 22 de agosto de 2019.  </w:t>
      </w:r>
      <w:r>
        <w:rPr>
          <w:rStyle w:val="54"/>
          <w:rFonts w:hint="default" w:ascii="Calibri" w:hAnsi="Calibri" w:cs="Calibri"/>
          <w:b/>
          <w:bCs/>
          <w:szCs w:val="20"/>
        </w:rPr>
        <w:t>Building Information Modelling</w:t>
      </w:r>
      <w:r>
        <w:rPr>
          <w:rFonts w:hint="default" w:ascii="Calibri" w:hAnsi="Calibri" w:cs="Calibri"/>
          <w:szCs w:val="20"/>
        </w:rPr>
        <w:t> - </w:t>
      </w:r>
      <w:r>
        <w:rPr>
          <w:rFonts w:hint="default" w:ascii="Calibri" w:hAnsi="Calibri" w:cs="Calibri"/>
          <w:b/>
          <w:bCs/>
          <w:szCs w:val="20"/>
        </w:rPr>
        <w:t>BIM</w:t>
      </w:r>
      <w:r>
        <w:rPr>
          <w:rFonts w:hint="default" w:ascii="Calibri" w:hAnsi="Calibri" w:cs="Calibri"/>
          <w:szCs w:val="20"/>
        </w:rPr>
        <w:t>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pPr>
        <w:pStyle w:val="42"/>
        <w:spacing w:before="0" w:line="276" w:lineRule="auto"/>
        <w:rPr>
          <w:rFonts w:hint="default" w:ascii="Calibri" w:hAnsi="Calibri" w:cs="Calibri"/>
          <w:szCs w:val="20"/>
        </w:rPr>
      </w:pPr>
      <w:r>
        <w:rPr>
          <w:rFonts w:hint="default" w:ascii="Calibri" w:hAnsi="Calibri" w:cs="Calibri"/>
          <w:szCs w:val="2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da licitação, será preferencialmente adotada a Modelagem da Informação da Construção (Building Information Modelling - BIM) ou tecnologias e processos integrados similares ou mais avançados que venham a substituí-la.</w:t>
      </w:r>
    </w:p>
    <w:p>
      <w:pPr>
        <w:pStyle w:val="39"/>
        <w:spacing w:after="0" w:line="276" w:lineRule="auto"/>
        <w:ind w:left="716"/>
        <w:jc w:val="both"/>
        <w:rPr>
          <w:rFonts w:hint="default" w:ascii="Calibri" w:hAnsi="Calibri" w:cs="Calibri"/>
          <w:iCs/>
          <w:sz w:val="20"/>
          <w:szCs w:val="20"/>
        </w:rPr>
      </w:pPr>
    </w:p>
    <w:p>
      <w:pPr>
        <w:pStyle w:val="39"/>
        <w:numPr>
          <w:ilvl w:val="0"/>
          <w:numId w:val="0"/>
        </w:numPr>
        <w:spacing w:after="0" w:line="276" w:lineRule="auto"/>
        <w:ind w:leftChars="0"/>
        <w:jc w:val="both"/>
        <w:rPr>
          <w:rFonts w:hint="default" w:ascii="Calibri" w:hAnsi="Calibri" w:cs="Calibri"/>
          <w:bCs/>
          <w:i/>
          <w:color w:val="FF0000"/>
          <w:sz w:val="20"/>
          <w:szCs w:val="20"/>
        </w:rPr>
      </w:pPr>
      <w:r>
        <w:rPr>
          <w:rFonts w:hint="default" w:ascii="Calibri" w:hAnsi="Calibri" w:cs="Calibri"/>
          <w:i/>
          <w:color w:val="FF0000"/>
          <w:sz w:val="20"/>
          <w:szCs w:val="20"/>
          <w:lang w:val="pt-BR"/>
        </w:rPr>
        <w:t xml:space="preserve">2.1 </w:t>
      </w:r>
      <w:r>
        <w:rPr>
          <w:rFonts w:hint="default" w:ascii="Calibri" w:hAnsi="Calibri" w:cs="Calibri"/>
          <w:i/>
          <w:color w:val="FF0000"/>
          <w:sz w:val="20"/>
          <w:szCs w:val="20"/>
        </w:rPr>
        <w:t>O prazo de vigência da contratação é de .............................. contados do(a) ............................., na forma do artigo 105 da Lei n° 14.133/2021.</w:t>
      </w:r>
    </w:p>
    <w:p>
      <w:pPr>
        <w:spacing w:after="0" w:line="276" w:lineRule="auto"/>
        <w:ind w:left="426"/>
        <w:jc w:val="both"/>
        <w:rPr>
          <w:rFonts w:hint="default" w:ascii="Calibri" w:hAnsi="Calibri" w:cs="Calibri"/>
          <w:b/>
          <w:i/>
          <w:color w:val="FF0000"/>
          <w:sz w:val="20"/>
          <w:szCs w:val="20"/>
        </w:rPr>
      </w:pPr>
      <w:r>
        <w:rPr>
          <w:rFonts w:hint="default" w:ascii="Calibri" w:hAnsi="Calibri" w:cs="Calibri"/>
          <w:b/>
          <w:i/>
          <w:color w:val="FF0000"/>
          <w:sz w:val="20"/>
          <w:szCs w:val="20"/>
        </w:rPr>
        <w:t>OU</w:t>
      </w:r>
    </w:p>
    <w:p>
      <w:pPr>
        <w:spacing w:after="0" w:line="276" w:lineRule="auto"/>
        <w:ind w:left="426"/>
        <w:jc w:val="both"/>
        <w:rPr>
          <w:rFonts w:hint="default" w:ascii="Calibri" w:hAnsi="Calibri" w:cs="Calibri"/>
          <w:b/>
          <w:i/>
          <w:color w:val="FF0000"/>
          <w:sz w:val="20"/>
          <w:szCs w:val="20"/>
        </w:rPr>
      </w:pPr>
    </w:p>
    <w:p>
      <w:pPr>
        <w:pStyle w:val="39"/>
        <w:spacing w:after="0" w:line="276" w:lineRule="auto"/>
        <w:ind w:left="432"/>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 (máximo de 5 anos) contados do(a) ............................., prorrogável por até 10 anos, na forma dos artigos 106 e 107 da Lei n° 14.133/2021.</w:t>
      </w:r>
    </w:p>
    <w:p>
      <w:pPr>
        <w:pStyle w:val="39"/>
        <w:spacing w:after="0" w:line="276" w:lineRule="auto"/>
        <w:ind w:left="432"/>
        <w:jc w:val="both"/>
        <w:rPr>
          <w:rFonts w:hint="default" w:ascii="Calibri" w:hAnsi="Calibri" w:cs="Calibri"/>
          <w:bCs/>
          <w:i/>
          <w:color w:val="FF0000"/>
          <w:sz w:val="20"/>
          <w:szCs w:val="20"/>
        </w:rPr>
      </w:pPr>
    </w:p>
    <w:p>
      <w:pPr>
        <w:pStyle w:val="42"/>
        <w:spacing w:before="0" w:line="276" w:lineRule="auto"/>
        <w:rPr>
          <w:rFonts w:hint="default" w:ascii="Calibri" w:hAnsi="Calibri" w:cs="Calibri"/>
          <w:i w:val="0"/>
          <w:iCs w:val="0"/>
          <w:szCs w:val="20"/>
        </w:rPr>
      </w:pPr>
      <w:r>
        <w:rPr>
          <w:rStyle w:val="52"/>
          <w:rFonts w:hint="default" w:ascii="Calibri" w:hAnsi="Calibri" w:cs="Calibri" w:eastAsiaTheme="majorEastAsia"/>
          <w:b/>
          <w:bCs/>
          <w:szCs w:val="20"/>
          <w:shd w:val="clear" w:color="auto" w:fill="FFFFCC"/>
        </w:rPr>
        <w:t xml:space="preserve">Nota Explicativa: </w:t>
      </w:r>
      <w:r>
        <w:rPr>
          <w:rFonts w:hint="default" w:ascii="Calibri" w:hAnsi="Calibri" w:cs="Calibri"/>
          <w:bCs/>
        </w:rPr>
        <w:t>Indicar</w:t>
      </w:r>
      <w:r>
        <w:rPr>
          <w:rStyle w:val="52"/>
          <w:rFonts w:hint="default" w:ascii="Calibri" w:hAnsi="Calibri" w:cs="Calibri" w:eastAsiaTheme="majorEastAsia"/>
          <w:szCs w:val="20"/>
          <w:shd w:val="clear" w:color="auto" w:fill="FFFFCC"/>
        </w:rPr>
        <w:t xml:space="preserve"> o prazo</w:t>
      </w:r>
      <w:r>
        <w:rPr>
          <w:rStyle w:val="52"/>
          <w:rFonts w:hint="default" w:ascii="Calibri" w:hAnsi="Calibri" w:cs="Calibri" w:eastAsiaTheme="majorEastAsia"/>
          <w:b/>
          <w:bCs/>
          <w:szCs w:val="20"/>
          <w:shd w:val="clear" w:color="auto" w:fill="FFFFCC"/>
        </w:rPr>
        <w:t xml:space="preserve"> </w:t>
      </w:r>
      <w:r>
        <w:rPr>
          <w:rStyle w:val="52"/>
          <w:rFonts w:hint="default" w:ascii="Calibri" w:hAnsi="Calibri" w:cs="Calibri" w:eastAsiaTheme="majorEastAsia"/>
          <w:bCs/>
          <w:i w:val="0"/>
          <w:iCs w:val="0"/>
          <w:szCs w:val="20"/>
          <w:shd w:val="clear" w:color="auto" w:fill="FFFFCC"/>
        </w:rPr>
        <w:t xml:space="preserve">inicial </w:t>
      </w:r>
      <w:r>
        <w:rPr>
          <w:rStyle w:val="52"/>
          <w:rFonts w:hint="default" w:ascii="Calibri" w:hAnsi="Calibri" w:cs="Calibri" w:eastAsiaTheme="majorEastAsia"/>
          <w:szCs w:val="20"/>
          <w:shd w:val="clear" w:color="auto" w:fill="FFFFCC"/>
        </w:rPr>
        <w:t>da contratação, que deverá ser de no máximo 5 (cinco) anos.</w:t>
      </w:r>
      <w:r>
        <w:rPr>
          <w:rStyle w:val="52"/>
          <w:rFonts w:hint="default" w:ascii="Calibri" w:hAnsi="Calibri" w:cs="Calibri" w:eastAsiaTheme="majorEastAsia"/>
          <w:b/>
          <w:bCs/>
          <w:szCs w:val="20"/>
          <w:shd w:val="clear" w:color="auto" w:fill="FFFFCC"/>
        </w:rPr>
        <w:t> </w:t>
      </w:r>
      <w:r>
        <w:rPr>
          <w:rStyle w:val="55"/>
          <w:rFonts w:hint="default" w:ascii="Calibri" w:hAnsi="Calibri" w:cs="Calibri"/>
          <w:szCs w:val="20"/>
        </w:rPr>
        <w:t> </w:t>
      </w:r>
    </w:p>
    <w:p>
      <w:pPr>
        <w:pStyle w:val="53"/>
        <w:spacing w:before="0" w:beforeAutospacing="0" w:after="0" w:afterAutospacing="0"/>
        <w:ind w:left="555"/>
        <w:jc w:val="both"/>
        <w:textAlignment w:val="baseline"/>
        <w:rPr>
          <w:rFonts w:hint="default" w:ascii="Calibri" w:hAnsi="Calibri" w:cs="Calibri"/>
          <w:sz w:val="20"/>
          <w:szCs w:val="20"/>
        </w:rPr>
      </w:pPr>
      <w:r>
        <w:rPr>
          <w:rStyle w:val="55"/>
          <w:rFonts w:hint="default" w:ascii="Calibri" w:hAnsi="Calibri" w:cs="Calibri"/>
          <w:color w:val="FF0000"/>
          <w:sz w:val="20"/>
          <w:szCs w:val="20"/>
        </w:rPr>
        <w:t> </w:t>
      </w:r>
    </w:p>
    <w:p>
      <w:pPr>
        <w:pStyle w:val="53"/>
        <w:numPr>
          <w:ilvl w:val="0"/>
          <w:numId w:val="0"/>
        </w:numPr>
        <w:spacing w:before="0" w:beforeAutospacing="0" w:after="0" w:afterAutospacing="0"/>
        <w:jc w:val="both"/>
        <w:textAlignment w:val="baseline"/>
        <w:rPr>
          <w:rFonts w:hint="default" w:ascii="Calibri" w:hAnsi="Calibri" w:cs="Calibri"/>
          <w:sz w:val="20"/>
          <w:szCs w:val="20"/>
        </w:rPr>
      </w:pPr>
      <w:r>
        <w:rPr>
          <w:rStyle w:val="52"/>
          <w:rFonts w:hint="default" w:ascii="Calibri" w:hAnsi="Calibri" w:cs="Calibri" w:eastAsiaTheme="majorEastAsia"/>
          <w:i/>
          <w:iCs/>
          <w:color w:val="FF0000"/>
          <w:sz w:val="20"/>
          <w:szCs w:val="20"/>
          <w:lang w:val="pt-BR"/>
        </w:rPr>
        <w:t xml:space="preserve">2.1.1 </w:t>
      </w:r>
      <w:r>
        <w:rPr>
          <w:rStyle w:val="52"/>
          <w:rFonts w:hint="default" w:ascii="Calibri" w:hAnsi="Calibri" w:cs="Calibri" w:eastAsiaTheme="majorEastAsia"/>
          <w:i/>
          <w:iCs/>
          <w:color w:val="FF0000"/>
          <w:sz w:val="20"/>
          <w:szCs w:val="20"/>
        </w:rPr>
        <w:t xml:space="preserve">O serviço é enquadrado como continuado tendo em vista que [...], sendo a vigência plurianual mais vantajosa, considerando [...] </w:t>
      </w:r>
      <w:r>
        <w:rPr>
          <w:rStyle w:val="52"/>
          <w:rFonts w:hint="default" w:ascii="Calibri" w:hAnsi="Calibri" w:cs="Calibri" w:eastAsiaTheme="majorEastAsia"/>
          <w:b/>
          <w:bCs/>
          <w:i/>
          <w:iCs/>
          <w:color w:val="FF0000"/>
          <w:sz w:val="20"/>
          <w:szCs w:val="20"/>
        </w:rPr>
        <w:t>OU</w:t>
      </w:r>
      <w:r>
        <w:rPr>
          <w:rStyle w:val="52"/>
          <w:rFonts w:hint="default" w:ascii="Calibri" w:hAnsi="Calibri" w:cs="Calibri" w:eastAsiaTheme="majorEastAsia"/>
          <w:i/>
          <w:iCs/>
          <w:color w:val="FF0000"/>
          <w:sz w:val="20"/>
          <w:szCs w:val="20"/>
        </w:rPr>
        <w:t xml:space="preserve"> o Estudo Técnico Preliminar </w:t>
      </w:r>
      <w:r>
        <w:rPr>
          <w:rStyle w:val="52"/>
          <w:rFonts w:hint="default" w:ascii="Calibri" w:hAnsi="Calibri" w:cs="Calibri" w:eastAsiaTheme="majorEastAsia"/>
          <w:b/>
          <w:bCs/>
          <w:i/>
          <w:iCs/>
          <w:color w:val="FF0000"/>
          <w:sz w:val="20"/>
          <w:szCs w:val="20"/>
        </w:rPr>
        <w:t>OU</w:t>
      </w:r>
      <w:r>
        <w:rPr>
          <w:rStyle w:val="52"/>
          <w:rFonts w:hint="default" w:ascii="Calibri" w:hAnsi="Calibri" w:cs="Calibri" w:eastAsiaTheme="majorEastAsia"/>
          <w:i/>
          <w:iCs/>
          <w:color w:val="FF0000"/>
          <w:sz w:val="20"/>
          <w:szCs w:val="20"/>
        </w:rPr>
        <w:t xml:space="preserve"> os termos da Nota Técnica .../...;</w:t>
      </w:r>
      <w:r>
        <w:rPr>
          <w:rStyle w:val="55"/>
          <w:rFonts w:hint="default" w:ascii="Calibri" w:hAnsi="Calibri" w:cs="Calibri"/>
          <w:color w:val="FF0000"/>
          <w:sz w:val="20"/>
          <w:szCs w:val="20"/>
        </w:rPr>
        <w:t> </w:t>
      </w:r>
    </w:p>
    <w:p>
      <w:pPr>
        <w:pStyle w:val="39"/>
        <w:spacing w:after="0" w:line="276" w:lineRule="auto"/>
        <w:ind w:left="432"/>
        <w:jc w:val="both"/>
        <w:rPr>
          <w:rFonts w:hint="default" w:ascii="Calibri" w:hAnsi="Calibri" w:cs="Calibri"/>
          <w:bCs/>
          <w:i/>
          <w:color w:val="FF0000"/>
          <w:sz w:val="20"/>
          <w:szCs w:val="20"/>
        </w:rPr>
      </w:pPr>
    </w:p>
    <w:p>
      <w:pPr>
        <w:pStyle w:val="39"/>
        <w:spacing w:after="0" w:line="276" w:lineRule="auto"/>
        <w:ind w:left="432"/>
        <w:jc w:val="both"/>
        <w:rPr>
          <w:rFonts w:hint="default" w:ascii="Calibri" w:hAnsi="Calibri" w:cs="Calibri"/>
          <w:b/>
          <w:bCs/>
          <w:i/>
          <w:color w:val="FF0000"/>
          <w:sz w:val="20"/>
          <w:szCs w:val="20"/>
        </w:rPr>
      </w:pPr>
    </w:p>
    <w:p>
      <w:pPr>
        <w:pStyle w:val="39"/>
        <w:spacing w:after="0" w:line="276" w:lineRule="auto"/>
        <w:ind w:left="432"/>
        <w:jc w:val="both"/>
        <w:rPr>
          <w:rFonts w:hint="default" w:ascii="Calibri" w:hAnsi="Calibri" w:cs="Calibri"/>
          <w:b/>
          <w:bCs/>
          <w:i/>
          <w:color w:val="FF0000"/>
          <w:sz w:val="20"/>
          <w:szCs w:val="20"/>
        </w:rPr>
      </w:pPr>
      <w:r>
        <w:rPr>
          <w:rFonts w:hint="default" w:ascii="Calibri" w:hAnsi="Calibri" w:cs="Calibri"/>
          <w:b/>
          <w:bCs/>
          <w:i/>
          <w:color w:val="FF0000"/>
          <w:sz w:val="20"/>
          <w:szCs w:val="20"/>
        </w:rPr>
        <w:t>OU</w:t>
      </w:r>
    </w:p>
    <w:p>
      <w:pPr>
        <w:spacing w:after="0" w:line="276" w:lineRule="auto"/>
        <w:jc w:val="both"/>
        <w:rPr>
          <w:rFonts w:hint="default" w:ascii="Calibri" w:hAnsi="Calibri" w:cs="Calibri"/>
          <w:bCs/>
          <w:i/>
          <w:color w:val="FF0000"/>
          <w:sz w:val="20"/>
          <w:szCs w:val="20"/>
        </w:rPr>
      </w:pPr>
    </w:p>
    <w:p>
      <w:pPr>
        <w:pStyle w:val="39"/>
        <w:spacing w:after="0" w:line="276" w:lineRule="auto"/>
        <w:ind w:left="432"/>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..............................(máximo de um ano da ocorrência da emergência ou calamidade) contados do(a) ............................., improrrogável, na forma do art. 75, VIII da Lei n° 14.133/2021.</w:t>
      </w:r>
    </w:p>
    <w:p>
      <w:pPr>
        <w:spacing w:after="0" w:line="276" w:lineRule="auto"/>
        <w:jc w:val="both"/>
        <w:rPr>
          <w:rFonts w:hint="default" w:ascii="Calibri" w:hAnsi="Calibri" w:cs="Calibri"/>
          <w:bCs/>
          <w:i/>
          <w:color w:val="FF0000"/>
          <w:sz w:val="20"/>
          <w:szCs w:val="20"/>
        </w:rPr>
      </w:pPr>
    </w:p>
    <w:p>
      <w:pPr>
        <w:pStyle w:val="42"/>
        <w:spacing w:before="0" w:line="276" w:lineRule="auto"/>
        <w:rPr>
          <w:rFonts w:hint="default" w:ascii="Calibri" w:hAnsi="Calibri" w:cs="Calibri"/>
          <w:bCs/>
          <w:szCs w:val="20"/>
        </w:rPr>
      </w:pPr>
      <w:r>
        <w:rPr>
          <w:rFonts w:hint="default" w:ascii="Calibri" w:hAnsi="Calibri" w:cs="Calibri"/>
          <w:b/>
          <w:szCs w:val="20"/>
        </w:rPr>
        <w:t>Enquadramento da Contratação para fins de vigência</w:t>
      </w:r>
      <w:r>
        <w:rPr>
          <w:rFonts w:hint="default" w:ascii="Calibri" w:hAnsi="Calibri" w:cs="Calibri"/>
          <w:bCs/>
          <w:szCs w:val="20"/>
        </w:rPr>
        <w:t xml:space="preserve">: Há três tipos de contratação para fornecimento de serviços, no que tange à vigência: </w:t>
      </w:r>
    </w:p>
    <w:p>
      <w:pPr>
        <w:pStyle w:val="42"/>
        <w:spacing w:before="0" w:line="276" w:lineRule="auto"/>
        <w:rPr>
          <w:rFonts w:hint="default" w:ascii="Calibri" w:hAnsi="Calibri" w:cs="Calibri"/>
          <w:szCs w:val="20"/>
        </w:rPr>
      </w:pPr>
      <w:r>
        <w:rPr>
          <w:rFonts w:hint="default" w:ascii="Calibri" w:hAnsi="Calibri" w:cs="Calibri"/>
          <w:bCs/>
          <w:szCs w:val="20"/>
        </w:rPr>
        <w:t xml:space="preserve">a) Há </w:t>
      </w:r>
      <w:r>
        <w:rPr>
          <w:rFonts w:hint="default" w:ascii="Calibri" w:hAnsi="Calibri" w:cs="Calibri"/>
          <w:b/>
          <w:szCs w:val="20"/>
        </w:rPr>
        <w:t>prestação não-contínua</w:t>
      </w:r>
      <w:r>
        <w:rPr>
          <w:rFonts w:hint="default" w:ascii="Calibri" w:hAnsi="Calibri" w:cs="Calibri"/>
          <w:bCs/>
          <w:szCs w:val="20"/>
        </w:rPr>
        <w:t xml:space="preserve"> quando se trata de um serviço sem que haja uma demanda de caráter permanente. Uma vez finalizado, resolve-se a necessidade que deu azo ao contrato. Estes se fundamentam no </w:t>
      </w:r>
      <w:r>
        <w:rPr>
          <w:rFonts w:hint="default" w:ascii="Calibri" w:hAnsi="Calibri" w:cs="Calibri"/>
          <w:b/>
          <w:szCs w:val="20"/>
        </w:rPr>
        <w:t>art. 105 da Lei nº 14.133, de 2021,</w:t>
      </w:r>
      <w:r>
        <w:rPr>
          <w:rFonts w:hint="default" w:ascii="Calibri" w:hAnsi="Calibri" w:cs="Calibri"/>
          <w:bCs/>
          <w:szCs w:val="20"/>
        </w:rPr>
        <w:t xml:space="preserve"> e, no momento da contratação e a cada exercício financeiro, estabelecem a necessidade de disponibilidade de créditos orçamentários, bem como a previsão no plano plurianual, quando ultrapassar 1 (um) exercício financeiro. </w:t>
      </w:r>
    </w:p>
    <w:p>
      <w:pPr>
        <w:pStyle w:val="42"/>
        <w:spacing w:before="0" w:line="276" w:lineRule="auto"/>
        <w:rPr>
          <w:rFonts w:hint="default" w:ascii="Calibri" w:hAnsi="Calibri" w:cs="Calibri"/>
          <w:bCs/>
          <w:szCs w:val="20"/>
        </w:rPr>
      </w:pPr>
      <w:r>
        <w:rPr>
          <w:rFonts w:hint="default" w:ascii="Calibri" w:hAnsi="Calibri" w:cs="Calibri"/>
          <w:bCs/>
          <w:szCs w:val="20"/>
        </w:rPr>
        <w:t xml:space="preserve">b) Há </w:t>
      </w:r>
      <w:r>
        <w:rPr>
          <w:rFonts w:hint="default" w:ascii="Calibri" w:hAnsi="Calibri" w:cs="Calibri"/>
          <w:b/>
          <w:szCs w:val="20"/>
        </w:rPr>
        <w:t>prestação contínua</w:t>
      </w:r>
      <w:r>
        <w:rPr>
          <w:rFonts w:hint="default" w:ascii="Calibri" w:hAnsi="Calibri" w:cs="Calibri"/>
          <w:bCs/>
          <w:szCs w:val="20"/>
        </w:rPr>
        <w:t xml:space="preserve"> quando o serviço é uma necessidade permanente. É o caso, por exemplo, de serviços limpeza e segurança essenciais para o funcionamento do órgão público. Nessas situações, findo o contrato, haverá sua substituição por um novo e assim</w:t>
      </w:r>
      <w:r>
        <w:rPr>
          <w:rFonts w:hint="default" w:ascii="Calibri" w:hAnsi="Calibri" w:cs="Calibri"/>
          <w:bCs/>
          <w:strike/>
          <w:szCs w:val="20"/>
        </w:rPr>
        <w:t>,</w:t>
      </w:r>
      <w:r>
        <w:rPr>
          <w:rFonts w:hint="default" w:ascii="Calibri" w:hAnsi="Calibri" w:cs="Calibri"/>
          <w:bCs/>
          <w:szCs w:val="20"/>
        </w:rPr>
        <w:t xml:space="preserve"> sucessivamente, pois a necessidade em si é permanente. Contratações dessa natureza são atendidas pelo </w:t>
      </w:r>
      <w:r>
        <w:rPr>
          <w:rFonts w:hint="default" w:ascii="Calibri" w:hAnsi="Calibri" w:cs="Calibri"/>
          <w:b/>
          <w:szCs w:val="20"/>
        </w:rPr>
        <w:t>art. 106 da Lei nº 14.133, de 2021</w:t>
      </w:r>
      <w:r>
        <w:rPr>
          <w:rFonts w:hint="default" w:ascii="Calibri" w:hAnsi="Calibri" w:cs="Calibri"/>
          <w:bCs/>
          <w:szCs w:val="20"/>
        </w:rPr>
        <w:t>.</w:t>
      </w:r>
    </w:p>
    <w:p>
      <w:pPr>
        <w:pStyle w:val="42"/>
        <w:spacing w:before="0" w:line="276" w:lineRule="auto"/>
        <w:rPr>
          <w:rFonts w:hint="default" w:ascii="Calibri" w:hAnsi="Calibri" w:cs="Calibri"/>
          <w:bCs/>
          <w:szCs w:val="20"/>
        </w:rPr>
      </w:pPr>
      <w:r>
        <w:rPr>
          <w:rFonts w:hint="default" w:ascii="Calibri" w:hAnsi="Calibri" w:cs="Calibri"/>
          <w:bCs/>
          <w:szCs w:val="20"/>
        </w:rPr>
        <w:t xml:space="preserve">c) Por fim, caso se trate de </w:t>
      </w:r>
      <w:r>
        <w:rPr>
          <w:rFonts w:hint="default" w:ascii="Calibri" w:hAnsi="Calibri" w:cs="Calibri"/>
          <w:b/>
          <w:szCs w:val="20"/>
        </w:rPr>
        <w:t>contratação emergencial,</w:t>
      </w:r>
      <w:r>
        <w:rPr>
          <w:rFonts w:hint="default" w:ascii="Calibri" w:hAnsi="Calibri" w:cs="Calibri"/>
          <w:bCs/>
          <w:szCs w:val="20"/>
        </w:rPr>
        <w:t xml:space="preserve"> a vigência é regida pelo art. 75, VIII, da Lei nº 14.133, de 2021, estando limitada a um ano da emergência e não sendo passível de prorrogação.</w:t>
      </w:r>
    </w:p>
    <w:p>
      <w:pPr>
        <w:pStyle w:val="42"/>
        <w:spacing w:before="0" w:line="276" w:lineRule="auto"/>
        <w:rPr>
          <w:rFonts w:hint="default" w:ascii="Calibri" w:hAnsi="Calibri" w:cs="Calibri"/>
          <w:bCs/>
          <w:szCs w:val="20"/>
        </w:rPr>
      </w:pPr>
      <w:r>
        <w:rPr>
          <w:rFonts w:hint="default" w:ascii="Calibri" w:hAnsi="Calibri" w:cs="Calibri"/>
          <w:bCs/>
          <w:szCs w:val="2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pPr>
        <w:pStyle w:val="42"/>
        <w:spacing w:before="0" w:line="276" w:lineRule="auto"/>
        <w:rPr>
          <w:rFonts w:hint="default" w:ascii="Calibri" w:hAnsi="Calibri" w:cs="Calibri"/>
          <w:bCs/>
          <w:szCs w:val="20"/>
        </w:rPr>
      </w:pPr>
      <w:r>
        <w:rPr>
          <w:rFonts w:hint="default" w:ascii="Calibri" w:hAnsi="Calibri" w:cs="Calibri"/>
          <w:b/>
          <w:szCs w:val="20"/>
        </w:rPr>
        <w:t xml:space="preserve">Prazo de Vigência e Empenho - art. 105 da Lei nº 14.133, de 2021 – Serviço Não-Contínuo: </w:t>
      </w:r>
      <w:r>
        <w:rPr>
          <w:rFonts w:hint="default" w:ascii="Calibri" w:hAnsi="Calibri" w:cs="Calibri"/>
          <w:bCs/>
          <w:szCs w:val="20"/>
        </w:rPr>
        <w:t xml:space="preserve">Em caso de serviço não contínuo, o prazo de vigência deve ser o suficiente para a finalização do objeto e adoção das providências previstas no contrato, sendo a contratação limitada pelos respectivos créditos orçamentários. </w:t>
      </w:r>
    </w:p>
    <w:p>
      <w:pPr>
        <w:pStyle w:val="42"/>
        <w:spacing w:before="0" w:line="276" w:lineRule="auto"/>
        <w:rPr>
          <w:rFonts w:hint="default" w:ascii="Calibri" w:hAnsi="Calibri" w:cs="Calibri"/>
          <w:bCs/>
          <w:szCs w:val="20"/>
        </w:rPr>
      </w:pPr>
      <w:r>
        <w:rPr>
          <w:rFonts w:hint="default" w:ascii="Calibri" w:hAnsi="Calibri" w:cs="Calibri"/>
          <w:bCs/>
          <w:szCs w:val="20"/>
        </w:rPr>
        <w:t>Uma contratação que não tenha previsão no Plano Plurianual deve ter a sua integralidade empenhada antes ou de modo concomitante à celebração, conforme Lei nº 4.320/64 e Decreto nº 93.872/86 e a partir de tal empenho ter a vigência necessária prevista, utilizando-se de restos a pagar, se for o caso (art. 30, §2º, do Decreto nº 93.872/86).</w:t>
      </w:r>
    </w:p>
    <w:p>
      <w:pPr>
        <w:pStyle w:val="42"/>
        <w:spacing w:before="0" w:line="276" w:lineRule="auto"/>
        <w:rPr>
          <w:rFonts w:hint="default" w:ascii="Calibri" w:hAnsi="Calibri" w:cs="Calibri"/>
          <w:vanish/>
          <w:szCs w:val="20"/>
        </w:rPr>
      </w:pPr>
      <w:r>
        <w:rPr>
          <w:rFonts w:hint="default" w:ascii="Calibri" w:hAnsi="Calibri" w:cs="Calibri"/>
          <w:szCs w:val="20"/>
        </w:rPr>
        <w:t>Já a contratação prevista no Plano Plurianual pode ter empenhos em anos distintos, considerando a despesa de cada exercício, apenas quanto ao período abrangido pelo PPA.</w:t>
      </w:r>
    </w:p>
    <w:p>
      <w:pPr>
        <w:pStyle w:val="42"/>
        <w:spacing w:before="0" w:line="276" w:lineRule="auto"/>
        <w:rPr>
          <w:rFonts w:hint="default" w:ascii="Calibri" w:hAnsi="Calibri" w:cs="Calibri"/>
          <w:b/>
          <w:szCs w:val="20"/>
        </w:rPr>
      </w:pPr>
    </w:p>
    <w:p>
      <w:pPr>
        <w:pStyle w:val="42"/>
        <w:spacing w:before="0" w:line="276" w:lineRule="auto"/>
        <w:rPr>
          <w:rFonts w:hint="default" w:ascii="Calibri" w:hAnsi="Calibri" w:cs="Calibri"/>
          <w:bCs/>
          <w:szCs w:val="20"/>
        </w:rPr>
      </w:pPr>
      <w:r>
        <w:rPr>
          <w:rFonts w:hint="default" w:ascii="Calibri" w:hAnsi="Calibri" w:cs="Calibri"/>
          <w:b/>
          <w:szCs w:val="20"/>
        </w:rPr>
        <w:t xml:space="preserve">Prazo de Vigência – arts. 106 e 107 da Lei nº 14.133, de 2021 – Serviço Contínuo: </w:t>
      </w:r>
      <w:r>
        <w:rPr>
          <w:rFonts w:hint="default" w:ascii="Calibri" w:hAnsi="Calibri" w:cs="Calibri"/>
          <w:szCs w:val="20"/>
        </w:rPr>
        <w:t>A definição de serviço contínuo consta no art. 6º, XV, da lei, sendo os serviços contratados para a manutenção da atividade administrativa, decorrentes de necessidades permanentes ou prolongadas.</w:t>
      </w:r>
      <w:r>
        <w:rPr>
          <w:rFonts w:hint="default" w:ascii="Calibri" w:hAnsi="Calibri" w:cs="Calibri"/>
          <w:bCs/>
          <w:i w:val="0"/>
          <w:iCs w:val="0"/>
          <w:szCs w:val="20"/>
        </w:rPr>
        <w:t xml:space="preserve"> </w:t>
      </w:r>
      <w:r>
        <w:rPr>
          <w:rFonts w:hint="default" w:ascii="Calibri" w:hAnsi="Calibri" w:cs="Calibri"/>
          <w:bCs/>
          <w:szCs w:val="20"/>
        </w:rPr>
        <w:t xml:space="preserve">A utilização do prazo de vigência plurianual no caso de serviço contínuo é condicionada ao ateste de maior vantagem econômica, a ser feita pela autoridade competente no processo respectivo, conforme art. 106, I, da Lei nº 14.133/21. </w:t>
      </w:r>
    </w:p>
    <w:p>
      <w:pPr>
        <w:pStyle w:val="42"/>
        <w:rPr>
          <w:rFonts w:hint="default" w:ascii="Calibri" w:hAnsi="Calibri" w:cs="Calibri"/>
          <w:szCs w:val="20"/>
        </w:rPr>
      </w:pPr>
      <w:r>
        <w:rPr>
          <w:rFonts w:hint="default" w:ascii="Calibri" w:hAnsi="Calibri" w:cs="Calibri"/>
          <w:bCs/>
          <w:szCs w:val="20"/>
        </w:rPr>
        <w:t xml:space="preserve">De acordo com o artigo 107 da Lei nº 14.133/2021, é possível que contratos de serviço contínuo sejam prorrogados por até 10 anos, desde que </w:t>
      </w:r>
      <w:r>
        <w:rPr>
          <w:rFonts w:hint="default" w:ascii="Calibri" w:hAnsi="Calibri" w:cs="Calibri"/>
          <w:szCs w:val="20"/>
        </w:rPr>
        <w:t>haja previsão no aviso de dispensa (ou, na ausência deste, no próprio contrato) e que a autoridade competente ateste que as condições e os preços permanecem vantajosos para a Administração, permitida a negociação com o contratado ou a extinção contratual sem ônus para qualquer das partes.</w:t>
      </w:r>
    </w:p>
    <w:p>
      <w:pPr>
        <w:pStyle w:val="42"/>
        <w:rPr>
          <w:rFonts w:hint="default" w:ascii="Calibri" w:hAnsi="Calibri" w:cs="Calibri"/>
          <w:szCs w:val="20"/>
        </w:rPr>
      </w:pPr>
      <w:r>
        <w:rPr>
          <w:rFonts w:hint="default" w:ascii="Calibri" w:hAnsi="Calibri" w:cs="Calibri"/>
          <w:b/>
          <w:szCs w:val="20"/>
        </w:rPr>
        <w:t xml:space="preserve">Prazo de Vigência – art. 75, VIII, da Lei nº 14.133, de 2021 – Dispensa Emergencial: </w:t>
      </w:r>
      <w:r>
        <w:rPr>
          <w:rFonts w:hint="default" w:ascii="Calibri" w:hAnsi="Calibri" w:cs="Calibri"/>
          <w:szCs w:val="20"/>
        </w:rPr>
        <w:t>Independentemente de ser fornecimento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pPr>
        <w:pStyle w:val="42"/>
        <w:rPr>
          <w:rFonts w:hint="default" w:ascii="Calibri" w:hAnsi="Calibri" w:cs="Calibri"/>
          <w:szCs w:val="20"/>
        </w:rPr>
      </w:pPr>
      <w:r>
        <w:rPr>
          <w:rFonts w:hint="default" w:ascii="Calibri" w:hAnsi="Calibri" w:cs="Calibri"/>
          <w:szCs w:val="20"/>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pPr>
        <w:pStyle w:val="42"/>
        <w:rPr>
          <w:rFonts w:hint="default" w:ascii="Calibri" w:hAnsi="Calibri" w:cs="Calibri"/>
          <w:szCs w:val="20"/>
        </w:rPr>
      </w:pPr>
    </w:p>
    <w:p>
      <w:pPr>
        <w:pStyle w:val="42"/>
        <w:rPr>
          <w:rFonts w:hint="default" w:ascii="Calibri" w:hAnsi="Calibri" w:cs="Calibri"/>
          <w:szCs w:val="20"/>
        </w:rPr>
      </w:pPr>
      <w:r>
        <w:rPr>
          <w:rFonts w:hint="default" w:ascii="Calibri" w:hAnsi="Calibri" w:cs="Calibri"/>
          <w:b/>
          <w:szCs w:val="20"/>
        </w:rPr>
        <w:t xml:space="preserve">Vigência X Valores para fins de Dispensa de pequeno valor: </w:t>
      </w:r>
      <w:r>
        <w:rPr>
          <w:rFonts w:hint="default" w:ascii="Calibri" w:hAnsi="Calibri" w:cs="Calibri"/>
          <w:szCs w:val="20"/>
        </w:rPr>
        <w:t xml:space="preserve">Atentar para o disposto no art. 75, §1º, da Lei nº 14.133, de 2021,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pPr>
        <w:pStyle w:val="42"/>
        <w:spacing w:before="0" w:line="276" w:lineRule="auto"/>
        <w:rPr>
          <w:rFonts w:hint="default" w:ascii="Calibri" w:hAnsi="Calibri" w:cs="Calibri"/>
          <w:szCs w:val="20"/>
        </w:rPr>
      </w:pPr>
      <w:r>
        <w:rPr>
          <w:rFonts w:hint="default" w:ascii="Calibri" w:hAnsi="Calibri" w:cs="Calibri"/>
          <w:szCs w:val="20"/>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p>
      <w:pPr>
        <w:pStyle w:val="42"/>
        <w:spacing w:before="0" w:line="276" w:lineRule="auto"/>
        <w:rPr>
          <w:rFonts w:hint="default" w:ascii="Calibri" w:hAnsi="Calibri" w:cs="Calibri"/>
          <w:szCs w:val="20"/>
        </w:rPr>
      </w:pPr>
    </w:p>
    <w:p>
      <w:pPr>
        <w:pStyle w:val="39"/>
        <w:spacing w:after="0" w:line="276" w:lineRule="auto"/>
        <w:ind w:left="716"/>
        <w:jc w:val="both"/>
        <w:rPr>
          <w:rFonts w:hint="default" w:ascii="Calibri" w:hAnsi="Calibri" w:cs="Calibri"/>
          <w:bCs/>
          <w:i/>
          <w:color w:val="FF0000"/>
          <w:sz w:val="20"/>
          <w:szCs w:val="20"/>
        </w:rPr>
      </w:pPr>
    </w:p>
    <w:p>
      <w:pPr>
        <w:pStyle w:val="39"/>
        <w:numPr>
          <w:ilvl w:val="1"/>
          <w:numId w:val="3"/>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O custo estimado total da contratação é de R$... (por extenso).</w:t>
      </w:r>
    </w:p>
    <w:p>
      <w:pPr>
        <w:spacing w:after="0" w:line="276" w:lineRule="auto"/>
        <w:jc w:val="both"/>
        <w:rPr>
          <w:rFonts w:hint="default" w:ascii="Calibri" w:hAnsi="Calibri" w:cs="Calibri"/>
          <w:i/>
          <w:color w:val="FF0000"/>
          <w:sz w:val="20"/>
          <w:szCs w:val="20"/>
        </w:rPr>
      </w:pPr>
    </w:p>
    <w:p>
      <w:pPr>
        <w:pStyle w:val="42"/>
        <w:spacing w:before="0" w:line="276" w:lineRule="auto"/>
        <w:rPr>
          <w:rFonts w:hint="default" w:ascii="Calibri" w:hAnsi="Calibri" w:cs="Calibri"/>
          <w:szCs w:val="20"/>
        </w:rPr>
      </w:pPr>
      <w:r>
        <w:rPr>
          <w:rFonts w:hint="default" w:ascii="Calibri" w:hAnsi="Calibri" w:cs="Calibri"/>
          <w:b/>
          <w:bCs/>
          <w:szCs w:val="20"/>
        </w:rPr>
        <w:t xml:space="preserve">Nota Explicativa 1: Pesquisa de Preços: </w:t>
      </w:r>
      <w:r>
        <w:rPr>
          <w:rFonts w:hint="default" w:ascii="Calibri" w:hAnsi="Calibri" w:cs="Calibri"/>
          <w:szCs w:val="20"/>
        </w:rPr>
        <w:t xml:space="preserve">A estimativa de preços deve ser precedida de regular pesquisa, nos moldes do art. 23 da Lei nº 14.133/21, da Instrução Normativa SEGES/ME Nº 72, de 12 de agosto de 2021, e do Decreto nº 7.983, de 8 de abril de 2013. Para serviços comuns de engenharia, a Instrução Normativa SEGES/ME nº 65/2021 não é aplicável.  </w:t>
      </w:r>
    </w:p>
    <w:p>
      <w:pPr>
        <w:pStyle w:val="47"/>
        <w:rPr>
          <w:rFonts w:hint="default" w:ascii="Calibri" w:hAnsi="Calibri" w:cs="Calibri"/>
        </w:rPr>
      </w:pPr>
      <w:r>
        <w:rPr>
          <w:rFonts w:hint="default" w:ascii="Calibri" w:hAnsi="Calibri" w:cs="Calibri"/>
          <w:b/>
          <w:bCs/>
        </w:rPr>
        <w:t xml:space="preserve">Nota Explicativa 2: Serviços de Grande Vulto: </w:t>
      </w:r>
      <w:r>
        <w:rPr>
          <w:rFonts w:hint="default" w:ascii="Calibri" w:hAnsi="Calibri" w:cs="Calibri"/>
        </w:rPr>
        <w:t>No caso de serviço cujo valor estimado supere R$ 216.081.640,00 (conforme art. 6º, XXII, da Lei nº 14.133/21, atualizado pelo Decreto nº 10.922/21), será obrigatória a inclusão de disposição no Termo de Referência indicando os termos da Matriz de Risco a ser aposta no contrato.</w:t>
      </w:r>
    </w:p>
    <w:p>
      <w:pPr>
        <w:pStyle w:val="42"/>
        <w:spacing w:before="240" w:after="240"/>
        <w:rPr>
          <w:rFonts w:hint="default" w:ascii="Calibri" w:hAnsi="Calibri" w:cs="Calibri"/>
          <w:szCs w:val="20"/>
        </w:rPr>
      </w:pPr>
      <w:r>
        <w:rPr>
          <w:rFonts w:hint="default" w:ascii="Calibri" w:hAnsi="Calibri" w:cs="Calibri"/>
          <w:b/>
          <w:bCs/>
          <w:szCs w:val="20"/>
        </w:rPr>
        <w:t>Nota Explicativa 3</w:t>
      </w:r>
      <w:r>
        <w:rPr>
          <w:rFonts w:hint="default" w:ascii="Calibri" w:hAnsi="Calibri" w:cs="Calibri"/>
          <w:szCs w:val="20"/>
        </w:rPr>
        <w:t xml:space="preserve">: </w:t>
      </w:r>
      <w:r>
        <w:rPr>
          <w:rFonts w:hint="default" w:ascii="Calibri" w:hAnsi="Calibri" w:cs="Calibri"/>
          <w:b/>
          <w:bCs/>
          <w:szCs w:val="20"/>
        </w:rPr>
        <w:t>Inexequibilidade</w:t>
      </w:r>
      <w:r>
        <w:rPr>
          <w:rFonts w:hint="default" w:ascii="Calibri" w:hAnsi="Calibri" w:cs="Calibri"/>
          <w:szCs w:val="20"/>
        </w:rPr>
        <w:t>: Se houver procedimento de disputa na Dispensa Eletrônica, lembrar que, segundo §4º do art. 59 da Lei nº 14.133/21, serão consideradas inexequíveis as propostas cujos valores forem inferiores a 75% (setenta e cinco por cento) do valor orçado pela Administração.</w:t>
      </w:r>
    </w:p>
    <w:p>
      <w:pPr>
        <w:pStyle w:val="42"/>
        <w:spacing w:before="240" w:after="240"/>
        <w:rPr>
          <w:rFonts w:hint="default" w:ascii="Calibri" w:hAnsi="Calibri" w:cs="Calibri"/>
          <w:szCs w:val="20"/>
        </w:rPr>
      </w:pPr>
      <w:r>
        <w:rPr>
          <w:rFonts w:hint="default" w:ascii="Calibri" w:hAnsi="Calibri" w:cs="Calibri"/>
          <w:b/>
          <w:bCs/>
          <w:szCs w:val="20"/>
        </w:rPr>
        <w:t>Nota Explicativa 4</w:t>
      </w:r>
      <w:r>
        <w:rPr>
          <w:rFonts w:hint="default" w:ascii="Calibri" w:hAnsi="Calibri" w:cs="Calibri"/>
          <w:szCs w:val="20"/>
        </w:rPr>
        <w:t xml:space="preserve">: </w:t>
      </w:r>
      <w:r>
        <w:rPr>
          <w:rFonts w:hint="default" w:ascii="Calibri" w:hAnsi="Calibri" w:cs="Calibri"/>
          <w:b/>
          <w:bCs/>
          <w:szCs w:val="20"/>
        </w:rPr>
        <w:t xml:space="preserve">Garantia adicional: </w:t>
      </w:r>
      <w:r>
        <w:rPr>
          <w:rFonts w:hint="default" w:ascii="Calibri" w:hAnsi="Calibri" w:cs="Calibri"/>
          <w:szCs w:val="20"/>
        </w:rPr>
        <w:t>Deverá ser exigida garantia adicional da Contratada se a proposta for inferior a 85% (oitenta e cinco por cento) do valor orçado pela Administração, equivalente à diferença entre este último e o valor da proposta, sem prejuízo das demais garantias exigíveis de acordo a Lei.</w:t>
      </w:r>
    </w:p>
    <w:p>
      <w:pPr>
        <w:pStyle w:val="39"/>
        <w:spacing w:after="0" w:line="276" w:lineRule="auto"/>
        <w:ind w:left="993"/>
        <w:jc w:val="both"/>
        <w:rPr>
          <w:rFonts w:hint="default" w:ascii="Calibri" w:hAnsi="Calibri" w:cs="Calibri"/>
          <w:i/>
          <w:color w:val="FF0000"/>
          <w:sz w:val="20"/>
          <w:szCs w:val="20"/>
        </w:rPr>
      </w:pPr>
    </w:p>
    <w:p>
      <w:pPr>
        <w:pStyle w:val="39"/>
        <w:numPr>
          <w:ilvl w:val="1"/>
          <w:numId w:val="3"/>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Ressalvado o objeto ou parte dele sujeito ao regime de empreitada por preço unitário, o critério de aceitabilidade de preços será o valor global estimado para a contratação.</w:t>
      </w:r>
    </w:p>
    <w:p>
      <w:pPr>
        <w:pStyle w:val="39"/>
        <w:numPr>
          <w:ilvl w:val="1"/>
          <w:numId w:val="3"/>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O proponente, ou, havendo dispensa eletrônica, aquele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 14.133/2021);</w:t>
      </w:r>
    </w:p>
    <w:p>
      <w:pPr>
        <w:pStyle w:val="39"/>
        <w:spacing w:after="0" w:line="276" w:lineRule="auto"/>
        <w:ind w:left="432"/>
        <w:jc w:val="both"/>
        <w:rPr>
          <w:rFonts w:hint="default" w:ascii="Calibri" w:hAnsi="Calibri" w:cs="Calibri"/>
          <w:i/>
          <w:color w:val="FF0000"/>
          <w:sz w:val="20"/>
          <w:szCs w:val="20"/>
        </w:rPr>
      </w:pPr>
    </w:p>
    <w:p>
      <w:pPr>
        <w:pStyle w:val="42"/>
        <w:spacing w:before="240" w:after="240"/>
        <w:rPr>
          <w:rFonts w:hint="default" w:ascii="Calibri" w:hAnsi="Calibri" w:cs="Calibri"/>
          <w:szCs w:val="20"/>
          <w:lang w:val="zh-CN"/>
        </w:rPr>
      </w:pPr>
      <w:r>
        <w:rPr>
          <w:rFonts w:hint="default" w:ascii="Calibri" w:hAnsi="Calibri" w:cs="Calibri"/>
          <w:b/>
          <w:bCs/>
          <w:szCs w:val="20"/>
          <w:lang w:val="zh-CN"/>
        </w:rPr>
        <w:t>Nota Explicativa</w:t>
      </w:r>
      <w:r>
        <w:rPr>
          <w:rFonts w:hint="default" w:ascii="Calibri" w:hAnsi="Calibri" w:cs="Calibri"/>
          <w:szCs w:val="20"/>
          <w:lang w:val="zh-CN"/>
        </w:rPr>
        <w:t>: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p>
      <w:pPr>
        <w:pStyle w:val="39"/>
        <w:spacing w:after="0" w:line="276" w:lineRule="auto"/>
        <w:ind w:left="993"/>
        <w:jc w:val="both"/>
        <w:rPr>
          <w:rFonts w:hint="default" w:ascii="Calibri" w:hAnsi="Calibri" w:cs="Calibri"/>
          <w:i/>
          <w:color w:val="FF0000"/>
          <w:sz w:val="20"/>
          <w:szCs w:val="20"/>
        </w:rPr>
      </w:pPr>
    </w:p>
    <w:p>
      <w:pPr>
        <w:pStyle w:val="39"/>
        <w:numPr>
          <w:ilvl w:val="1"/>
          <w:numId w:val="3"/>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Para o objeto ou parte dele sujeito ao regime de empreitada por preço unitário o critério de aceitabilidade de preços será: (...)</w:t>
      </w:r>
    </w:p>
    <w:p>
      <w:pPr>
        <w:pStyle w:val="42"/>
        <w:spacing w:before="240" w:after="240"/>
        <w:rPr>
          <w:rFonts w:hint="default" w:ascii="Calibri" w:hAnsi="Calibri" w:cs="Calibri"/>
          <w:szCs w:val="20"/>
        </w:rPr>
      </w:pPr>
      <w:r>
        <w:rPr>
          <w:rFonts w:hint="default" w:ascii="Calibri" w:hAnsi="Calibri" w:cs="Calibri"/>
          <w:b/>
          <w:bCs/>
          <w:szCs w:val="20"/>
          <w:lang w:val="zh-CN"/>
        </w:rPr>
        <w:t>Nota Explicativa</w:t>
      </w:r>
      <w:r>
        <w:rPr>
          <w:rFonts w:hint="default" w:ascii="Calibri" w:hAnsi="Calibri" w:cs="Calibri"/>
          <w:szCs w:val="20"/>
          <w:lang w:val="zh-CN"/>
        </w:rPr>
        <w:t xml:space="preserve">: Se o regime é o de empreitada por preço unitário, cabe desclassificação em razão de custos unitários superiores aos orçados pela Administração, conforme art. 59, §3º, da Lei nº 14.133/2021, que expressamente se refere ao </w:t>
      </w:r>
      <w:r>
        <w:rPr>
          <w:rFonts w:hint="default" w:ascii="Calibri" w:hAnsi="Calibri" w:cs="Calibri"/>
          <w:szCs w:val="20"/>
        </w:rPr>
        <w:t xml:space="preserve">critério de aceitabilidade de preços unitário e global a </w:t>
      </w:r>
      <w:r>
        <w:rPr>
          <w:rFonts w:hint="default" w:ascii="Calibri" w:hAnsi="Calibri" w:cs="Calibri"/>
          <w:b/>
          <w:szCs w:val="20"/>
        </w:rPr>
        <w:t>ser fixado no edital</w:t>
      </w:r>
      <w:r>
        <w:rPr>
          <w:rFonts w:hint="default" w:ascii="Calibri" w:hAnsi="Calibri" w:cs="Calibri"/>
          <w:szCs w:val="2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pPr>
        <w:pStyle w:val="39"/>
        <w:numPr>
          <w:ilvl w:val="0"/>
          <w:numId w:val="1"/>
        </w:numPr>
        <w:spacing w:after="0" w:line="276" w:lineRule="auto"/>
        <w:jc w:val="both"/>
        <w:rPr>
          <w:rFonts w:hint="default" w:ascii="Calibri" w:hAnsi="Calibri" w:cs="Calibri"/>
          <w:b/>
          <w:sz w:val="20"/>
          <w:szCs w:val="20"/>
        </w:rPr>
      </w:pPr>
      <w:r>
        <w:rPr>
          <w:rFonts w:hint="default" w:ascii="Calibri" w:hAnsi="Calibri" w:cs="Calibri"/>
          <w:b/>
          <w:sz w:val="20"/>
          <w:szCs w:val="20"/>
        </w:rPr>
        <w:t>FUNDAMENTAÇÃO E DESCRIÇÃO DA NECESSIDADE DA CONTRATAÇÃO (art. 6º, inciso XXIII, alínea ‘b’ da Lei n. 14.133/2021).</w:t>
      </w:r>
    </w:p>
    <w:p>
      <w:pPr>
        <w:pStyle w:val="39"/>
        <w:numPr>
          <w:ilvl w:val="1"/>
          <w:numId w:val="4"/>
        </w:numPr>
        <w:spacing w:after="0" w:line="276" w:lineRule="auto"/>
        <w:jc w:val="both"/>
        <w:rPr>
          <w:rFonts w:hint="default" w:ascii="Calibri" w:hAnsi="Calibri" w:cs="Calibri"/>
          <w:sz w:val="20"/>
          <w:szCs w:val="20"/>
        </w:rPr>
      </w:pPr>
      <w:r>
        <w:rPr>
          <w:rFonts w:hint="default" w:ascii="Calibri" w:hAnsi="Calibri" w:cs="Calibri"/>
          <w:sz w:val="20"/>
          <w:szCs w:val="20"/>
        </w:rPr>
        <w:t>A fundamentação da contratação e seus quantitativos encontra-se pormenorizada em tópico específico dos Estudos Técnicos Preliminares, apêndice deste Termo de Referência.</w:t>
      </w:r>
    </w:p>
    <w:p>
      <w:pPr>
        <w:pStyle w:val="42"/>
        <w:spacing w:before="0" w:line="276" w:lineRule="auto"/>
        <w:rPr>
          <w:rFonts w:hint="default" w:ascii="Calibri" w:hAnsi="Calibri" w:cs="Calibri"/>
          <w:bCs/>
          <w:szCs w:val="20"/>
        </w:rPr>
      </w:pPr>
      <w:r>
        <w:rPr>
          <w:rFonts w:hint="default" w:ascii="Calibri" w:hAnsi="Calibri" w:cs="Calibri"/>
          <w:b/>
          <w:szCs w:val="20"/>
        </w:rPr>
        <w:t>Nota Explicativa</w:t>
      </w:r>
      <w:r>
        <w:rPr>
          <w:rFonts w:hint="default" w:ascii="Calibri" w:hAnsi="Calibri" w:cs="Calibri"/>
          <w:szCs w:val="20"/>
        </w:rPr>
        <w:t>: De acordo com o artigo 6º, inciso XXIII, alínea ‘c’, da Lei nº 14.133/2021, a fundamentação da contratação é realizada mediante “referência aos estudos técnicos preliminares correspondentes ou, quando não for possível divulgar esses estudos, no extrato das partes que não contiverem informações sigilosas”.</w:t>
      </w:r>
    </w:p>
    <w:p>
      <w:pPr>
        <w:pStyle w:val="43"/>
        <w:numPr>
          <w:ilvl w:val="0"/>
          <w:numId w:val="4"/>
        </w:numPr>
        <w:rPr>
          <w:rFonts w:hint="default" w:ascii="Calibri" w:hAnsi="Calibri" w:cs="Calibri"/>
          <w:bCs/>
          <w:color w:val="FF0000"/>
          <w:sz w:val="20"/>
          <w:szCs w:val="20"/>
        </w:rPr>
      </w:pPr>
      <w:r>
        <w:rPr>
          <w:rFonts w:hint="default" w:ascii="Calibri" w:hAnsi="Calibri" w:cs="Calibri"/>
          <w:bCs/>
          <w:color w:val="FF0000"/>
          <w:sz w:val="20"/>
          <w:szCs w:val="20"/>
        </w:rPr>
        <w:t>DESCRIÇÃO DA SOLUÇÃO COMO UM TODO CONSIDERADO O CICLO DE VIDA DO OBJETO (art. 6º, inciso XXIII, alínea ‘c’, da Lei n. 14.133/2021).</w:t>
      </w:r>
    </w:p>
    <w:p>
      <w:pPr>
        <w:pStyle w:val="39"/>
        <w:numPr>
          <w:ilvl w:val="1"/>
          <w:numId w:val="5"/>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A descrição da solução como um todo encontra-se pormenorizada em tópico específico dos Estudos Técnicos Preliminares, apêndice deste Termo de Referência.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Nota Explicativa 1:</w:t>
      </w:r>
      <w:r>
        <w:rPr>
          <w:rFonts w:hint="default" w:ascii="Calibri" w:hAnsi="Calibri" w:cs="Calibri"/>
          <w:szCs w:val="20"/>
        </w:rPr>
        <w:t xml:space="preserve"> O artigo 18, §1º, da Lei n. 14.133/2021: § 1º O estudo técnico preliminar a que se refere o inciso I do </w:t>
      </w:r>
      <w:r>
        <w:rPr>
          <w:rStyle w:val="10"/>
          <w:rFonts w:hint="default" w:ascii="Calibri" w:hAnsi="Calibri" w:cs="Calibri"/>
          <w:b w:val="0"/>
          <w:bCs w:val="0"/>
          <w:szCs w:val="20"/>
        </w:rPr>
        <w:t>caput</w:t>
      </w:r>
      <w:r>
        <w:rPr>
          <w:rStyle w:val="10"/>
          <w:rFonts w:hint="default" w:ascii="Calibri" w:hAnsi="Calibri" w:cs="Calibri"/>
          <w:szCs w:val="20"/>
        </w:rPr>
        <w:t xml:space="preserve"> </w:t>
      </w:r>
      <w:r>
        <w:rPr>
          <w:rFonts w:hint="default" w:ascii="Calibri" w:hAnsi="Calibri" w:cs="Calibri"/>
          <w:szCs w:val="20"/>
        </w:rPr>
        <w:t>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Caso haja a necessidade de modificação da descrição em relação à originalmente feita nos estudos técnicos preliminares, recomenda-se ajustar a redação acima.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szCs w:val="20"/>
        </w:rPr>
        <w:t>Nota Explicativa 2:</w:t>
      </w:r>
      <w:r>
        <w:rPr>
          <w:rFonts w:hint="default" w:ascii="Calibri" w:hAnsi="Calibri" w:cs="Calibri"/>
          <w:szCs w:val="2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1962.</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 xml:space="preserve">Nota Explicativa 3: </w:t>
      </w:r>
      <w:r>
        <w:rPr>
          <w:rFonts w:hint="default" w:ascii="Calibri" w:hAnsi="Calibri" w:cs="Calibri"/>
          <w:szCs w:val="20"/>
        </w:rPr>
        <w:t>O art. 6º, XXIII, “c”, da Lei nº 14.133/21 dispõe que a descrição da solução como um todo deve considerar todo o ciclo de vida do objeto. “Ciclo de Vida” é definido no art. 3º da Lei nº 12.305/10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de engenharia que envolvam fornecimento de bens e materiais.</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Nota Explicativa 4:</w:t>
      </w:r>
      <w:r>
        <w:rPr>
          <w:rFonts w:hint="default" w:ascii="Calibri" w:hAnsi="Calibri" w:cs="Calibri"/>
          <w:szCs w:val="20"/>
        </w:rPr>
        <w:t xml:space="preserve"> O art. 47, I, da Lei nº 14.133/2021 estabelece que deve ser feita “a padronização, considerada a compatibilidade de especificações estéticas, técnicas ou de desempenho”. A Portaria SEGES/ME nº 938/2022 instituiu o catálogo eletrônico de padronização, o qual deverá ser consultado para verificar se a contratação almejada está contemplada em seus termos. Em existindo padronização aprovada, ela deve ser considerada e eventual não-uso justificado nos autos.</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 xml:space="preserve">Nota Explicativa 5: </w:t>
      </w:r>
      <w:r>
        <w:rPr>
          <w:rFonts w:hint="default" w:ascii="Calibri" w:hAnsi="Calibri" w:cs="Calibri"/>
          <w:szCs w:val="20"/>
        </w:rPr>
        <w:t>Em havendo elementos de sustentabilidade (fornecimento em material reciclável ou com madeira de reflorestamento, cuidados com resíduos sólidos – Lei nº 14.133/2021, art. 45, I -, ou condicionantes e compensação ambiental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Guia Nacional de Contratações Sustentáveis da AGU para tal fim. Caso o Estudo Técnico Preliminar seja silente ou insuficiente a esse respeito, recomenda-se abrir tópico específico nesta seção sobre a matéria.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Vale registrar que a sustentabilidade pode incidir a partir de características do próprio objeto a ser contratado como também de outros modos, compilados no tópico “requisitos da contratação”, abaixo.</w:t>
      </w:r>
    </w:p>
    <w:p>
      <w:pPr>
        <w:pStyle w:val="43"/>
        <w:numPr>
          <w:ilvl w:val="0"/>
          <w:numId w:val="4"/>
        </w:numPr>
        <w:rPr>
          <w:rFonts w:hint="default" w:ascii="Calibri" w:hAnsi="Calibri" w:cs="Calibri"/>
          <w:bCs/>
          <w:i/>
          <w:iCs/>
          <w:color w:val="FF0000"/>
          <w:sz w:val="20"/>
          <w:szCs w:val="20"/>
        </w:rPr>
      </w:pPr>
      <w:r>
        <w:rPr>
          <w:rFonts w:hint="default" w:ascii="Calibri" w:hAnsi="Calibri" w:cs="Calibri"/>
          <w:bCs/>
          <w:color w:val="FF0000"/>
          <w:sz w:val="20"/>
          <w:szCs w:val="20"/>
        </w:rPr>
        <w:t>REQUISITOS DA CONTRATAÇÃO (art. 6º, XXIII, alínea ‘d’ da Lei nº 14.133/21)</w:t>
      </w:r>
    </w:p>
    <w:p>
      <w:pPr>
        <w:rPr>
          <w:rFonts w:hint="default" w:ascii="Calibri" w:hAnsi="Calibri" w:cs="Calibri"/>
          <w:sz w:val="20"/>
          <w:szCs w:val="20"/>
        </w:rPr>
      </w:pP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 xml:space="preserve">Nota Explicativa: </w:t>
      </w:r>
      <w:r>
        <w:rPr>
          <w:rFonts w:hint="default" w:ascii="Calibri" w:hAnsi="Calibri" w:cs="Calibri"/>
          <w:szCs w:val="20"/>
        </w:rPr>
        <w:t>Alguns requisitos de contratação tratados na lei foram abordados nesta cláusula do Termo de Referência. Isso não impede que outros requisitos de contratação, de caráter técnico, sejam inseridos pela área competente. Registre-se, apenas, que a documentação de habilitação técnica é objeto de cláusula específica (item 8. FORMA E CRITÉRIOS DE SELEÇÃO DO FORNECEDOR) de modo que sua inclusão neste tópico seria redundante.</w:t>
      </w:r>
    </w:p>
    <w:p>
      <w:pPr>
        <w:pStyle w:val="39"/>
        <w:spacing w:after="0" w:line="276" w:lineRule="auto"/>
        <w:ind w:left="716"/>
        <w:jc w:val="both"/>
        <w:rPr>
          <w:rFonts w:hint="default" w:ascii="Calibri" w:hAnsi="Calibri" w:cs="Calibri"/>
          <w:i/>
          <w:iCs/>
          <w:sz w:val="20"/>
          <w:szCs w:val="20"/>
        </w:rPr>
      </w:pPr>
    </w:p>
    <w:p>
      <w:pPr>
        <w:pStyle w:val="39"/>
        <w:numPr>
          <w:ilvl w:val="1"/>
          <w:numId w:val="6"/>
        </w:numPr>
        <w:spacing w:after="0" w:line="276" w:lineRule="auto"/>
        <w:jc w:val="both"/>
        <w:rPr>
          <w:rFonts w:hint="default" w:ascii="Calibri" w:hAnsi="Calibri" w:eastAsia="Calibri" w:cs="Calibri"/>
          <w:sz w:val="20"/>
          <w:szCs w:val="20"/>
          <w:shd w:val="clear" w:color="auto" w:fill="FFFFFF"/>
        </w:rPr>
      </w:pPr>
      <w:r>
        <w:rPr>
          <w:rFonts w:hint="default" w:ascii="Calibri" w:hAnsi="Calibri" w:cs="Calibri"/>
          <w:i/>
          <w:iCs/>
          <w:color w:val="FF0000"/>
          <w:sz w:val="20"/>
          <w:szCs w:val="20"/>
        </w:rPr>
        <w:t>Além dos critérios de sustentabilidade eventualmente inseridos na descrição do objeto, devem ser atendidos os seguintes requisitos, que se baseiam no Guia Nacional de Contratações Sustentáveis:</w:t>
      </w:r>
    </w:p>
    <w:p>
      <w:pPr>
        <w:pStyle w:val="39"/>
        <w:numPr>
          <w:ilvl w:val="2"/>
          <w:numId w:val="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2"/>
          <w:numId w:val="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1: </w:t>
      </w:r>
      <w:r>
        <w:rPr>
          <w:rFonts w:hint="default" w:ascii="Calibri" w:hAnsi="Calibri" w:eastAsia="MyriadPro-Regular" w:cs="Calibri"/>
          <w:bCs/>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pPr>
        <w:pStyle w:val="42"/>
        <w:spacing w:before="0" w:line="276" w:lineRule="auto"/>
        <w:rPr>
          <w:rFonts w:hint="default" w:ascii="Calibri" w:hAnsi="Calibri" w:eastAsia="MyriadPro-Regular" w:cs="Calibri"/>
          <w:szCs w:val="20"/>
        </w:rPr>
      </w:pPr>
      <w:r>
        <w:rPr>
          <w:rFonts w:hint="default" w:ascii="Calibri" w:hAnsi="Calibri" w:eastAsia="MyriadPro-Regular" w:cs="Calibri"/>
          <w:szCs w:val="20"/>
        </w:rPr>
        <w:t>Atent</w:t>
      </w:r>
      <w:r>
        <w:rPr>
          <w:rFonts w:hint="default" w:ascii="Calibri" w:hAnsi="Calibri" w:eastAsia="MyriadPro-Regular" w:cs="Calibri"/>
          <w:color w:val="000000" w:themeColor="text1"/>
          <w:szCs w:val="20"/>
          <w14:textFill>
            <w14:solidFill>
              <w14:schemeClr w14:val="tx1"/>
            </w14:solidFill>
          </w14:textFill>
        </w:rPr>
        <w:t>amos, em síntese, para que a sustentabilidade seja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2: </w:t>
      </w:r>
      <w:r>
        <w:rPr>
          <w:rFonts w:hint="default" w:ascii="Calibri" w:hAnsi="Calibri" w:eastAsia="MyriadPro-Regular" w:cs="Calibri"/>
          <w:bCs/>
          <w:szCs w:val="20"/>
        </w:rPr>
        <w:t xml:space="preserve">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 </w:t>
      </w:r>
    </w:p>
    <w:p>
      <w:pPr>
        <w:pStyle w:val="42"/>
        <w:spacing w:before="0" w:line="276" w:lineRule="auto"/>
        <w:rPr>
          <w:rFonts w:hint="default" w:ascii="Calibri" w:hAnsi="Calibri" w:eastAsia="MyriadPro-Regular" w:cs="Calibri"/>
          <w:color w:val="000000" w:themeColor="text1"/>
          <w:szCs w:val="20"/>
          <w14:textFill>
            <w14:solidFill>
              <w14:schemeClr w14:val="tx1"/>
            </w14:solidFill>
          </w14:textFill>
        </w:rPr>
      </w:pPr>
      <w:r>
        <w:rPr>
          <w:rFonts w:hint="default" w:ascii="Calibri" w:hAnsi="Calibri" w:eastAsia="MyriadPro-Regular" w:cs="Calibri"/>
          <w:b/>
          <w:bCs/>
          <w:szCs w:val="20"/>
        </w:rPr>
        <w:t xml:space="preserve">Nota explicativa 3: </w:t>
      </w:r>
      <w:r>
        <w:rPr>
          <w:rFonts w:hint="default" w:ascii="Calibri" w:hAnsi="Calibri" w:eastAsia="MyriadPro-Regular" w:cs="Calibri"/>
          <w:color w:val="000000" w:themeColor="text1"/>
          <w:szCs w:val="20"/>
          <w14:textFill>
            <w14:solidFill>
              <w14:schemeClr w14:val="tx1"/>
            </w14:solidFill>
          </w14:textFill>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 </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4: </w:t>
      </w:r>
      <w:r>
        <w:rPr>
          <w:rFonts w:hint="default" w:ascii="Calibri" w:hAnsi="Calibri" w:eastAsia="MyriadPro-Regular" w:cs="Calibri"/>
          <w:bCs/>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pPr>
        <w:pStyle w:val="42"/>
        <w:spacing w:before="0" w:line="276" w:lineRule="auto"/>
        <w:rPr>
          <w:rFonts w:hint="default" w:ascii="Calibri" w:hAnsi="Calibri" w:eastAsia="MyriadPro-Regular" w:cs="Calibri"/>
          <w:szCs w:val="20"/>
        </w:rPr>
      </w:pPr>
      <w:r>
        <w:rPr>
          <w:rFonts w:hint="default" w:ascii="Calibri" w:hAnsi="Calibri" w:eastAsia="MyriadPro-Regular" w:cs="Calibri"/>
          <w:szCs w:val="2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 depender da complexidade das exigências pertinentes à sustentabilidade da contratação, pode ser interessante adaptar as rotinas de fiscalização, inclusive com a contratação de consultoria específica para o trato da matéria.</w:t>
      </w:r>
    </w:p>
    <w:p>
      <w:pPr>
        <w:pStyle w:val="42"/>
        <w:spacing w:before="0" w:line="276" w:lineRule="auto"/>
        <w:rPr>
          <w:rFonts w:hint="default" w:ascii="Calibri" w:hAnsi="Calibri" w:eastAsia="MyriadPro-Regular" w:cs="Calibri"/>
          <w:szCs w:val="20"/>
        </w:rPr>
      </w:pPr>
      <w:r>
        <w:rPr>
          <w:rFonts w:hint="default" w:ascii="Calibri" w:hAnsi="Calibri" w:eastAsia="MyriadPro-Regular" w:cs="Calibri"/>
          <w:b/>
          <w:bCs/>
          <w:szCs w:val="20"/>
        </w:rPr>
        <w:t xml:space="preserve">Nota explicativa 5: </w:t>
      </w:r>
      <w:r>
        <w:rPr>
          <w:rFonts w:hint="default" w:ascii="Calibri" w:hAnsi="Calibri" w:eastAsia="MyriadPro-Regular" w:cs="Calibri"/>
          <w:szCs w:val="20"/>
        </w:rPr>
        <w:t>Nas contratações, deve ser dada prioridade para produtos reciclados e recicláveis e para bens, serviços e obras que considerem critérios compatíveis com padrões de consumo sustentáveis (artigo 7º, XI, da Lei n. 12.305/2010 – Política Nacional de Resíduos Sólidos). Deve-se observar, também, a regulamentação a ser editada à luz da nova legislação.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bCs/>
          <w:szCs w:val="20"/>
        </w:rPr>
        <w:t xml:space="preserve">Nota explicativa 6: </w:t>
      </w:r>
      <w:r>
        <w:rPr>
          <w:rFonts w:hint="default" w:ascii="Calibri" w:hAnsi="Calibri" w:eastAsia="MyriadPro-Regular" w:cs="Calibri"/>
          <w:color w:val="000000" w:themeColor="text1"/>
          <w:szCs w:val="20"/>
          <w14:textFill>
            <w14:solidFill>
              <w14:schemeClr w14:val="tx1"/>
            </w14:solidFill>
          </w14:textFill>
        </w:rPr>
        <w:t>Recomenda-se, igualmente, consulta ao CATSER – Catálogo de Serviços disponibilizado pela Secretaria de Gestão do Ministério da Economia, selecionando-se os serviços inclusive sob o critério da sustentabilidade</w:t>
      </w:r>
      <w:r>
        <w:rPr>
          <w:rFonts w:hint="default" w:ascii="Calibri" w:hAnsi="Calibri" w:eastAsia="MyriadPro-Regular" w:cs="Calibri"/>
          <w:bCs/>
          <w:szCs w:val="20"/>
        </w:rPr>
        <w:t>.</w:t>
      </w:r>
    </w:p>
    <w:p>
      <w:pPr>
        <w:pStyle w:val="39"/>
        <w:spacing w:after="0" w:line="276" w:lineRule="auto"/>
        <w:ind w:left="716"/>
        <w:jc w:val="both"/>
        <w:rPr>
          <w:rFonts w:hint="default" w:ascii="Calibri" w:hAnsi="Calibri" w:cs="Calibri"/>
          <w:i/>
          <w:color w:val="FF0000"/>
          <w:sz w:val="20"/>
          <w:szCs w:val="20"/>
        </w:rPr>
      </w:pPr>
    </w:p>
    <w:p>
      <w:pPr>
        <w:pStyle w:val="39"/>
        <w:numPr>
          <w:ilvl w:val="1"/>
          <w:numId w:val="6"/>
        </w:numPr>
        <w:spacing w:after="0" w:line="276" w:lineRule="auto"/>
        <w:jc w:val="both"/>
        <w:rPr>
          <w:rFonts w:hint="default" w:ascii="Calibri" w:hAnsi="Calibri" w:cs="Calibri"/>
          <w:i/>
          <w:iCs/>
          <w:color w:val="FF0000"/>
          <w:sz w:val="20"/>
          <w:szCs w:val="20"/>
        </w:rPr>
      </w:pPr>
      <w:r>
        <w:rPr>
          <w:rFonts w:hint="default" w:ascii="Calibri" w:hAnsi="Calibri" w:cs="Calibri"/>
          <w:i/>
          <w:color w:val="FF0000"/>
          <w:sz w:val="20"/>
          <w:szCs w:val="20"/>
        </w:rPr>
        <w:t>Não será admitida a subcontratação do objeto contratual.</w:t>
      </w:r>
    </w:p>
    <w:p>
      <w:pPr>
        <w:pStyle w:val="42"/>
        <w:spacing w:before="0" w:line="276" w:lineRule="auto"/>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nº 14.133/21.</w:t>
      </w:r>
    </w:p>
    <w:p>
      <w:pPr>
        <w:pStyle w:val="44"/>
        <w:spacing w:line="276" w:lineRule="auto"/>
        <w:ind w:left="425"/>
        <w:jc w:val="both"/>
        <w:rPr>
          <w:rFonts w:hint="default" w:ascii="Calibri" w:hAnsi="Calibri" w:cs="Calibri"/>
          <w:b/>
          <w:bCs/>
          <w:i/>
          <w:color w:val="FF0000"/>
          <w:sz w:val="20"/>
          <w:szCs w:val="20"/>
          <w:u w:val="single"/>
        </w:rPr>
      </w:pPr>
    </w:p>
    <w:p>
      <w:pPr>
        <w:pStyle w:val="44"/>
        <w:spacing w:line="276" w:lineRule="auto"/>
        <w:ind w:left="425"/>
        <w:jc w:val="both"/>
        <w:rPr>
          <w:rFonts w:hint="default" w:ascii="Calibri" w:hAnsi="Calibri" w:cs="Calibri"/>
          <w:b/>
          <w:bCs/>
          <w:i/>
          <w:color w:val="FF0000"/>
          <w:sz w:val="20"/>
          <w:szCs w:val="20"/>
          <w:u w:val="single"/>
        </w:rPr>
      </w:pPr>
      <w:r>
        <w:rPr>
          <w:rFonts w:hint="default" w:ascii="Calibri" w:hAnsi="Calibri" w:cs="Calibri"/>
          <w:b/>
          <w:bCs/>
          <w:i/>
          <w:color w:val="FF0000"/>
          <w:sz w:val="20"/>
          <w:szCs w:val="20"/>
          <w:u w:val="single"/>
        </w:rPr>
        <w:t>OU</w:t>
      </w:r>
    </w:p>
    <w:p>
      <w:pPr>
        <w:pStyle w:val="39"/>
        <w:spacing w:after="0" w:line="276" w:lineRule="auto"/>
        <w:ind w:left="716"/>
        <w:jc w:val="both"/>
        <w:rPr>
          <w:rFonts w:hint="default" w:ascii="Calibri" w:hAnsi="Calibri" w:cs="Calibri"/>
          <w:i/>
          <w:color w:val="FF0000"/>
          <w:sz w:val="20"/>
          <w:szCs w:val="20"/>
        </w:rPr>
      </w:pPr>
    </w:p>
    <w:p>
      <w:pPr>
        <w:pStyle w:val="39"/>
        <w:numPr>
          <w:ilvl w:val="1"/>
          <w:numId w:val="7"/>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É permitida a subcontratação parcial do objeto, até o limite de ......%(..... por cento) do valor total do contrato, nas seguintes condições:</w:t>
      </w:r>
    </w:p>
    <w:p>
      <w:pPr>
        <w:pStyle w:val="39"/>
        <w:numPr>
          <w:ilvl w:val="2"/>
          <w:numId w:val="7"/>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É vedada a subcontratação parcela principal da obrigação, a qual consiste em: [...] (indicar qual é)</w:t>
      </w:r>
    </w:p>
    <w:p>
      <w:pPr>
        <w:pStyle w:val="42"/>
        <w:spacing w:before="0" w:line="276" w:lineRule="auto"/>
        <w:rPr>
          <w:rFonts w:hint="default" w:ascii="Calibri" w:hAnsi="Calibri" w:cs="Calibri"/>
          <w:szCs w:val="20"/>
        </w:rPr>
      </w:pPr>
      <w:r>
        <w:rPr>
          <w:rFonts w:hint="default" w:ascii="Calibri" w:hAnsi="Calibri" w:cs="Calibri"/>
          <w:b/>
          <w:iCs w:val="0"/>
          <w:szCs w:val="20"/>
        </w:rPr>
        <w:t xml:space="preserve">Nota Explicativa: </w:t>
      </w:r>
      <w:r>
        <w:rPr>
          <w:rFonts w:hint="default" w:ascii="Calibri" w:hAnsi="Calibri" w:cs="Calibri"/>
          <w:iCs w:val="0"/>
          <w:szCs w:val="20"/>
        </w:rPr>
        <w:t>A subcontratação parcial é permitida e deverá ser analisada pela Administração com base nas informações dos estudos preliminares, em cada caso concreto.</w:t>
      </w:r>
      <w:r>
        <w:rPr>
          <w:rFonts w:hint="default" w:ascii="Calibri" w:hAnsi="Calibri" w:cs="Calibri"/>
          <w:szCs w:val="20"/>
        </w:rPr>
        <w:t xml:space="preserve"> Caso admitida, o Termo de Referência deve estabelecer com detalhamento seus limites e condições, inclusive especificando quais parcelas do objeto poderão ser subcontratadas.</w:t>
      </w:r>
    </w:p>
    <w:p>
      <w:pPr>
        <w:pStyle w:val="39"/>
        <w:spacing w:after="0" w:line="276" w:lineRule="auto"/>
        <w:ind w:left="1072"/>
        <w:jc w:val="both"/>
        <w:rPr>
          <w:rFonts w:hint="default" w:ascii="Calibri" w:hAnsi="Calibri" w:cs="Calibri"/>
          <w:i/>
          <w:color w:val="FF0000"/>
          <w:sz w:val="20"/>
          <w:szCs w:val="20"/>
        </w:rPr>
      </w:pPr>
    </w:p>
    <w:p>
      <w:pPr>
        <w:pStyle w:val="39"/>
        <w:numPr>
          <w:ilvl w:val="2"/>
          <w:numId w:val="7"/>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A subcontratação depende de autorização prévia da Contratante, a quem incumbe avaliar se a subcontratada cumpre os requisitos de qualificação técnica necessários para a execução do objeto.</w:t>
      </w:r>
    </w:p>
    <w:p>
      <w:pPr>
        <w:pStyle w:val="39"/>
        <w:numPr>
          <w:ilvl w:val="2"/>
          <w:numId w:val="7"/>
        </w:numPr>
        <w:spacing w:after="0" w:line="276" w:lineRule="auto"/>
        <w:jc w:val="both"/>
        <w:rPr>
          <w:rFonts w:hint="default" w:ascii="Calibri" w:hAnsi="Calibri" w:cs="Calibri"/>
          <w:sz w:val="20"/>
          <w:szCs w:val="20"/>
        </w:rPr>
      </w:pPr>
      <w:r>
        <w:rPr>
          <w:rFonts w:hint="default" w:ascii="Calibri" w:hAnsi="Calibri" w:cs="Calibri"/>
          <w:i/>
          <w:color w:val="FF0000"/>
          <w:sz w:val="20"/>
          <w:szCs w:val="20"/>
        </w:rPr>
        <w:t>.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pPr>
        <w:pStyle w:val="42"/>
        <w:spacing w:before="0" w:line="276" w:lineRule="auto"/>
        <w:rPr>
          <w:rFonts w:hint="default" w:ascii="Calibri" w:hAnsi="Calibri" w:cs="Calibri"/>
          <w:szCs w:val="20"/>
        </w:rPr>
      </w:pPr>
      <w:r>
        <w:rPr>
          <w:rFonts w:hint="default" w:ascii="Calibri" w:hAnsi="Calibri" w:cs="Calibri"/>
          <w:b/>
          <w:bCs/>
          <w:szCs w:val="20"/>
        </w:rPr>
        <w:t xml:space="preserve">Nota Explicativa: </w:t>
      </w:r>
      <w:r>
        <w:rPr>
          <w:rFonts w:hint="default" w:ascii="Calibri" w:hAnsi="Calibri" w:cs="Calibri"/>
          <w:szCs w:val="20"/>
        </w:rPr>
        <w:t>Em havendo a necessidade de inclusão de outras especificações técnicas quanto à subcontratação, deverão ser inseridas no tópico acima.</w:t>
      </w:r>
    </w:p>
    <w:p>
      <w:pPr>
        <w:pStyle w:val="39"/>
        <w:spacing w:after="0" w:line="276" w:lineRule="auto"/>
        <w:ind w:left="716"/>
        <w:jc w:val="both"/>
        <w:rPr>
          <w:rFonts w:hint="default" w:ascii="Calibri" w:hAnsi="Calibri" w:cs="Calibri"/>
          <w:i/>
          <w:color w:val="FF0000"/>
          <w:sz w:val="20"/>
          <w:szCs w:val="20"/>
        </w:rPr>
      </w:pPr>
    </w:p>
    <w:p>
      <w:pPr>
        <w:pStyle w:val="39"/>
        <w:numPr>
          <w:ilvl w:val="1"/>
          <w:numId w:val="7"/>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Não haverá exigência da garantia da contratação dos arts. 96 e seguintes da Lei nº 14.133/21, pelas razões abaixo justificadas:</w:t>
      </w:r>
    </w:p>
    <w:p>
      <w:pPr>
        <w:rPr>
          <w:rFonts w:hint="default" w:ascii="Calibri" w:hAnsi="Calibri" w:cs="Calibri"/>
          <w:b/>
          <w:bCs/>
          <w:color w:val="FF0000"/>
          <w:sz w:val="20"/>
          <w:szCs w:val="20"/>
          <w:u w:val="single"/>
        </w:rPr>
      </w:pPr>
      <w:r>
        <w:rPr>
          <w:rFonts w:hint="default" w:ascii="Calibri" w:hAnsi="Calibri" w:cs="Calibri"/>
          <w:b/>
          <w:bCs/>
          <w:color w:val="FF0000"/>
          <w:sz w:val="20"/>
          <w:szCs w:val="20"/>
          <w:u w:val="single"/>
        </w:rPr>
        <w:t>OU</w:t>
      </w:r>
    </w:p>
    <w:p>
      <w:pPr>
        <w:pStyle w:val="39"/>
        <w:numPr>
          <w:ilvl w:val="1"/>
          <w:numId w:val="8"/>
        </w:numPr>
        <w:spacing w:after="0" w:line="276" w:lineRule="auto"/>
        <w:jc w:val="both"/>
        <w:rPr>
          <w:rFonts w:hint="default" w:ascii="Calibri" w:hAnsi="Calibri" w:cs="Calibri"/>
          <w:b/>
          <w:bCs/>
          <w:sz w:val="20"/>
          <w:szCs w:val="20"/>
          <w:u w:val="single"/>
        </w:rPr>
      </w:pPr>
      <w:r>
        <w:rPr>
          <w:rFonts w:hint="default" w:ascii="Calibri" w:hAnsi="Calibri" w:cs="Calibri"/>
          <w:i/>
          <w:color w:val="FF0000"/>
          <w:sz w:val="20"/>
          <w:szCs w:val="20"/>
        </w:rPr>
        <w:t>Será exigida a garantia da contratação de que tratam os arts. 96 e seguintes da Lei nº 14.133/21, no percentual de ...% do valor contratual, conforme regras previstas no contrato.</w:t>
      </w:r>
    </w:p>
    <w:p>
      <w:pPr>
        <w:pStyle w:val="39"/>
        <w:numPr>
          <w:ilvl w:val="2"/>
          <w:numId w:val="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A garantia nas modalidades caução e fiança bancária deverá ser prestada em até XXXXXXX dias após XXXXXX (autorização da dispensa OU notificação OU assinatura do contrato etc.).</w:t>
      </w:r>
    </w:p>
    <w:p>
      <w:pPr>
        <w:pStyle w:val="39"/>
        <w:numPr>
          <w:ilvl w:val="2"/>
          <w:numId w:val="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No caso de seguro-garantia, a garantia deverá ser apresentada no máximo até a data de assinatura do contrato.</w:t>
      </w:r>
    </w:p>
    <w:p>
      <w:pPr>
        <w:spacing w:after="0" w:line="276" w:lineRule="auto"/>
        <w:jc w:val="both"/>
        <w:rPr>
          <w:rFonts w:hint="default" w:ascii="Calibri" w:hAnsi="Calibri" w:cs="Calibri"/>
          <w:b/>
          <w:bCs/>
          <w:sz w:val="20"/>
          <w:szCs w:val="20"/>
          <w:u w:val="single"/>
        </w:rPr>
      </w:pPr>
    </w:p>
    <w:p>
      <w:pPr>
        <w:pBdr>
          <w:top w:val="single" w:color="1F497D" w:sz="4" w:space="1"/>
          <w:left w:val="single" w:color="1F497D" w:sz="4" w:space="4"/>
          <w:bottom w:val="single" w:color="1F497D" w:sz="4" w:space="1"/>
          <w:right w:val="single" w:color="1F497D" w:sz="4" w:space="4"/>
        </w:pBdr>
        <w:shd w:val="clear" w:color="auto" w:fill="FFFFCC"/>
        <w:spacing w:after="0" w:line="276" w:lineRule="auto"/>
        <w:jc w:val="both"/>
        <w:rPr>
          <w:rFonts w:hint="default" w:ascii="Calibri" w:hAnsi="Calibri" w:eastAsia="Calibri" w:cs="Calibri"/>
          <w:i/>
          <w:iCs/>
          <w:color w:val="000000"/>
          <w:sz w:val="20"/>
          <w:szCs w:val="20"/>
        </w:rPr>
      </w:pPr>
      <w:r>
        <w:rPr>
          <w:rFonts w:hint="default" w:ascii="Calibri" w:hAnsi="Calibri" w:eastAsia="Calibri" w:cs="Calibri"/>
          <w:b/>
          <w:bCs/>
          <w:i/>
          <w:iCs/>
          <w:color w:val="000000"/>
          <w:sz w:val="20"/>
          <w:szCs w:val="20"/>
        </w:rPr>
        <w:t xml:space="preserve">Nota Explicativa: </w:t>
      </w:r>
      <w:r>
        <w:rPr>
          <w:rFonts w:hint="default" w:ascii="Calibri" w:hAnsi="Calibri" w:eastAsia="Calibri" w:cs="Calibri"/>
          <w:i/>
          <w:iCs/>
          <w:color w:val="000000"/>
          <w:sz w:val="20"/>
          <w:szCs w:val="20"/>
        </w:rPr>
        <w:t>Neste momento, a área técnica competente deverá indicar se a contratação utilizará a garantia de execução ou não. As regras espec</w:t>
      </w:r>
      <w:r>
        <w:rPr>
          <w:rFonts w:hint="default" w:ascii="Calibri" w:hAnsi="Calibri" w:eastAsia="Calibri" w:cs="Calibri"/>
          <w:i/>
          <w:iCs/>
          <w:color w:val="000000"/>
          <w:sz w:val="20"/>
          <w:szCs w:val="20"/>
          <w:highlight w:val="green"/>
        </w:rPr>
        <w:t>í</w:t>
      </w:r>
      <w:r>
        <w:rPr>
          <w:rFonts w:hint="default" w:ascii="Calibri" w:hAnsi="Calibri" w:eastAsia="Calibri" w:cs="Calibri"/>
          <w:i/>
          <w:iCs/>
          <w:color w:val="000000"/>
          <w:sz w:val="20"/>
          <w:szCs w:val="20"/>
        </w:rPr>
        <w:t>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pPr>
        <w:pStyle w:val="42"/>
        <w:spacing w:before="0" w:line="276" w:lineRule="auto"/>
        <w:rPr>
          <w:rFonts w:hint="default" w:ascii="Calibri" w:hAnsi="Calibri" w:cs="Calibri"/>
          <w:b/>
          <w:bCs/>
          <w:color w:val="auto"/>
          <w:szCs w:val="20"/>
        </w:rPr>
      </w:pPr>
    </w:p>
    <w:p>
      <w:pPr>
        <w:pStyle w:val="42"/>
        <w:spacing w:before="0" w:line="276" w:lineRule="auto"/>
        <w:rPr>
          <w:rFonts w:hint="default" w:ascii="Calibri" w:hAnsi="Calibri" w:cs="Calibri"/>
          <w:color w:val="auto"/>
          <w:szCs w:val="20"/>
        </w:rPr>
      </w:pPr>
      <w:r>
        <w:rPr>
          <w:rFonts w:hint="default" w:ascii="Calibri" w:hAnsi="Calibri" w:cs="Calibri"/>
          <w:b/>
          <w:bCs/>
          <w:color w:val="auto"/>
          <w:szCs w:val="20"/>
        </w:rPr>
        <w:t>Nota explicativa</w:t>
      </w:r>
      <w:r>
        <w:rPr>
          <w:rFonts w:hint="default" w:ascii="Calibri" w:hAnsi="Calibri" w:cs="Calibri"/>
          <w:color w:val="auto"/>
          <w:szCs w:val="20"/>
        </w:rPr>
        <w:t>: O percentual da garantia será de:</w:t>
      </w:r>
    </w:p>
    <w:p>
      <w:pPr>
        <w:pStyle w:val="42"/>
        <w:spacing w:line="276" w:lineRule="auto"/>
        <w:rPr>
          <w:rFonts w:hint="default" w:ascii="Calibri" w:hAnsi="Calibri" w:cs="Calibri"/>
          <w:color w:val="auto"/>
          <w:szCs w:val="20"/>
        </w:rPr>
      </w:pPr>
      <w:r>
        <w:rPr>
          <w:rFonts w:hint="default" w:ascii="Calibri" w:hAnsi="Calibri" w:cs="Calibri"/>
          <w:color w:val="auto"/>
          <w:szCs w:val="20"/>
        </w:rPr>
        <w:t>a) até 5% (cinco por cento) do valor inicial do contrato, para contratações em geral;</w:t>
      </w:r>
    </w:p>
    <w:p>
      <w:pPr>
        <w:pStyle w:val="42"/>
        <w:spacing w:line="276" w:lineRule="auto"/>
        <w:rPr>
          <w:rFonts w:hint="default" w:ascii="Calibri" w:hAnsi="Calibri" w:cs="Calibri"/>
          <w:color w:val="auto"/>
          <w:szCs w:val="20"/>
        </w:rPr>
      </w:pPr>
      <w:r>
        <w:rPr>
          <w:rFonts w:hint="default" w:ascii="Calibri" w:hAnsi="Calibri" w:cs="Calibri"/>
          <w:color w:val="auto"/>
          <w:szCs w:val="20"/>
        </w:rPr>
        <w:t>b) até 10% (dez por cento) do valor inicial do contrato, nos casos de alta complexidade técnica e riscos envolvidos, caso em que deverá haver justificativa específica nos autos;</w:t>
      </w:r>
    </w:p>
    <w:p>
      <w:pPr>
        <w:pStyle w:val="42"/>
        <w:spacing w:line="276" w:lineRule="auto"/>
        <w:rPr>
          <w:rFonts w:hint="default" w:ascii="Calibri" w:hAnsi="Calibri" w:cs="Calibri"/>
          <w:color w:val="auto"/>
          <w:szCs w:val="20"/>
        </w:rPr>
      </w:pPr>
      <w:r>
        <w:rPr>
          <w:rFonts w:hint="default" w:ascii="Calibri" w:hAnsi="Calibri" w:cs="Calibri"/>
          <w:color w:val="auto"/>
          <w:szCs w:val="20"/>
        </w:rPr>
        <w:t>c) até 30% (trinta por cento) do valor inicial do contrato, na modalidade seguro-garantia, com cláusula de retomada, nas contratações de obras e serviços de engenharia de grande vulto (acima de R$ 216.081.640,00, cf. art. 6º, XXII, e 182, ambos da Lei nº 14.133 c/c Decreto nº 10.922, de 2021 [Nesse caso, o edital deverá observar os requisitos do art. 102 da Lei nº 14.133];</w:t>
      </w:r>
    </w:p>
    <w:p>
      <w:pPr>
        <w:pStyle w:val="42"/>
        <w:spacing w:line="276" w:lineRule="auto"/>
        <w:rPr>
          <w:rFonts w:hint="default" w:ascii="Calibri" w:hAnsi="Calibri" w:cs="Calibri"/>
          <w:color w:val="auto"/>
          <w:szCs w:val="20"/>
        </w:rPr>
      </w:pPr>
      <w:r>
        <w:rPr>
          <w:rFonts w:hint="default" w:ascii="Calibri" w:hAnsi="Calibri" w:cs="Calibri"/>
          <w:color w:val="auto"/>
          <w:szCs w:val="20"/>
        </w:rPr>
        <w:t>d) ser acrescido de garantia adicional aos percentuais citados anteriormente, em casos de previsão de antecipação de pagamento, nos termos do art. 145, § 2º, da Lei nº 14.133.</w:t>
      </w:r>
    </w:p>
    <w:p>
      <w:pPr>
        <w:pStyle w:val="42"/>
        <w:spacing w:line="276" w:lineRule="auto"/>
        <w:rPr>
          <w:rFonts w:hint="default" w:ascii="Calibri" w:hAnsi="Calibri" w:cs="Calibri"/>
          <w:bCs/>
          <w:szCs w:val="20"/>
        </w:rPr>
      </w:pPr>
      <w:r>
        <w:rPr>
          <w:rFonts w:hint="default" w:ascii="Calibri" w:hAnsi="Calibri" w:cs="Calibri"/>
          <w:color w:val="auto"/>
          <w:szCs w:val="20"/>
        </w:rPr>
        <w:t>e) ser acrescido do valor equivalente à diferença entre 85% do valor orçado pela Administração e o valor da proposta vencedora, no caso de contratações de obras e serviços de engenharia, nos termos do art. 59, § 5º, da lei nº 14.133, de 2021.</w:t>
      </w:r>
      <w:r>
        <w:rPr>
          <w:rFonts w:hint="default" w:ascii="Calibri" w:hAnsi="Calibri" w:cs="Calibri"/>
          <w:szCs w:val="20"/>
        </w:rPr>
        <w:t xml:space="preserve"> </w:t>
      </w:r>
    </w:p>
    <w:p>
      <w:pPr>
        <w:pStyle w:val="39"/>
        <w:spacing w:after="0" w:line="276" w:lineRule="auto"/>
        <w:ind w:left="432"/>
        <w:jc w:val="both"/>
        <w:rPr>
          <w:rFonts w:hint="default" w:ascii="Calibri" w:hAnsi="Calibri" w:cs="Calibri"/>
          <w:sz w:val="20"/>
          <w:szCs w:val="20"/>
        </w:rPr>
      </w:pPr>
    </w:p>
    <w:p>
      <w:pPr>
        <w:pStyle w:val="39"/>
        <w:numPr>
          <w:ilvl w:val="1"/>
          <w:numId w:val="8"/>
        </w:numPr>
        <w:spacing w:after="0" w:line="276" w:lineRule="auto"/>
        <w:jc w:val="both"/>
        <w:rPr>
          <w:rFonts w:hint="default" w:ascii="Calibri" w:hAnsi="Calibri" w:cs="Calibri"/>
          <w:sz w:val="20"/>
          <w:szCs w:val="20"/>
        </w:rPr>
      </w:pPr>
      <w:r>
        <w:rPr>
          <w:rFonts w:hint="default" w:ascii="Calibri" w:hAnsi="Calibri" w:cs="Calibri"/>
          <w:i/>
          <w:color w:val="FF0000"/>
          <w:sz w:val="20"/>
          <w:szCs w:val="20"/>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pPr>
        <w:pStyle w:val="39"/>
        <w:spacing w:after="0" w:line="276" w:lineRule="auto"/>
        <w:ind w:left="426" w:hanging="426"/>
        <w:jc w:val="both"/>
        <w:rPr>
          <w:rFonts w:hint="default" w:ascii="Calibri" w:hAnsi="Calibri" w:cs="Calibri"/>
          <w:sz w:val="20"/>
          <w:szCs w:val="20"/>
        </w:rPr>
      </w:pPr>
      <w:r>
        <w:rPr>
          <w:rFonts w:hint="default" w:ascii="Calibri" w:hAnsi="Calibri" w:cs="Calibri"/>
          <w:i/>
          <w:color w:val="FF0000"/>
          <w:sz w:val="20"/>
          <w:szCs w:val="20"/>
        </w:rPr>
        <w:t>.</w:t>
      </w:r>
    </w:p>
    <w:p>
      <w:pPr>
        <w:pBdr>
          <w:top w:val="single" w:color="1F497D" w:sz="4" w:space="1"/>
          <w:left w:val="single" w:color="1F497D" w:sz="4" w:space="4"/>
          <w:bottom w:val="single" w:color="1F497D" w:sz="4" w:space="1"/>
          <w:right w:val="single" w:color="1F497D" w:sz="4" w:space="4"/>
        </w:pBdr>
        <w:shd w:val="clear" w:color="auto" w:fill="FFFFCC"/>
        <w:spacing w:before="120" w:after="0" w:line="276" w:lineRule="auto"/>
        <w:jc w:val="both"/>
        <w:rPr>
          <w:rFonts w:hint="default" w:ascii="Calibri" w:hAnsi="Calibri" w:eastAsia="Calibri" w:cs="Calibri"/>
          <w:i/>
          <w:iCs/>
          <w:sz w:val="20"/>
          <w:szCs w:val="20"/>
        </w:rPr>
      </w:pPr>
      <w:r>
        <w:rPr>
          <w:rFonts w:hint="default" w:ascii="Calibri" w:hAnsi="Calibri" w:eastAsia="Calibri" w:cs="Calibri"/>
          <w:b/>
          <w:bCs/>
          <w:i/>
          <w:iCs/>
          <w:sz w:val="20"/>
          <w:szCs w:val="20"/>
        </w:rPr>
        <w:t xml:space="preserve">Nota Explicativa: </w:t>
      </w:r>
      <w:r>
        <w:rPr>
          <w:rFonts w:hint="default" w:ascii="Calibri" w:hAnsi="Calibri" w:eastAsia="Calibri" w:cs="Calibri"/>
          <w:i/>
          <w:iCs/>
          <w:sz w:val="20"/>
          <w:szCs w:val="20"/>
        </w:rPr>
        <w:t>Insira abaixo, se for o caso, outros requisitos necessários para o atendimento da demanda que gerou a contratação em tela.</w:t>
      </w:r>
    </w:p>
    <w:p>
      <w:pPr>
        <w:spacing w:after="0" w:line="276" w:lineRule="auto"/>
        <w:jc w:val="both"/>
        <w:rPr>
          <w:rFonts w:hint="default" w:ascii="Calibri" w:hAnsi="Calibri" w:cs="Calibri"/>
          <w:i/>
          <w:iCs/>
          <w:color w:val="FF0000"/>
          <w:sz w:val="20"/>
          <w:szCs w:val="20"/>
        </w:rPr>
      </w:pPr>
    </w:p>
    <w:p>
      <w:pPr>
        <w:pStyle w:val="39"/>
        <w:numPr>
          <w:ilvl w:val="1"/>
          <w:numId w:val="8"/>
        </w:numPr>
        <w:spacing w:after="0" w:line="276" w:lineRule="auto"/>
        <w:jc w:val="both"/>
        <w:rPr>
          <w:rFonts w:hint="default" w:ascii="Calibri" w:hAnsi="Calibri" w:cs="Calibri"/>
          <w:i/>
          <w:iCs/>
          <w:color w:val="FF0000"/>
          <w:sz w:val="20"/>
          <w:szCs w:val="20"/>
        </w:rPr>
      </w:pPr>
      <w:r>
        <w:rPr>
          <w:rFonts w:hint="default" w:ascii="Calibri" w:hAnsi="Calibri" w:cs="Calibri"/>
          <w:iCs/>
          <w:color w:val="FF0000"/>
          <w:sz w:val="20"/>
          <w:szCs w:val="20"/>
        </w:rPr>
        <w:t>[...]</w:t>
      </w:r>
    </w:p>
    <w:p>
      <w:pPr>
        <w:pStyle w:val="43"/>
        <w:numPr>
          <w:ilvl w:val="0"/>
          <w:numId w:val="4"/>
        </w:numPr>
        <w:rPr>
          <w:rFonts w:hint="default" w:ascii="Calibri" w:hAnsi="Calibri" w:cs="Calibri"/>
          <w:strike/>
          <w:sz w:val="20"/>
          <w:szCs w:val="20"/>
        </w:rPr>
      </w:pPr>
      <w:r>
        <w:rPr>
          <w:rFonts w:hint="default" w:ascii="Calibri" w:hAnsi="Calibri" w:cs="Calibri"/>
          <w:iCs/>
          <w:color w:val="FF0000"/>
          <w:sz w:val="20"/>
          <w:szCs w:val="20"/>
        </w:rPr>
        <w:t>VISTORIA</w:t>
      </w:r>
    </w:p>
    <w:p>
      <w:pPr>
        <w:pStyle w:val="39"/>
        <w:numPr>
          <w:ilvl w:val="1"/>
          <w:numId w:val="9"/>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r>
        <w:rPr>
          <w:rFonts w:hint="default" w:ascii="Calibri" w:hAnsi="Calibri" w:cs="Calibri"/>
        </w:rPr>
        <w:t xml:space="preserve"> </w:t>
      </w:r>
      <w:r>
        <w:rPr>
          <w:rFonts w:hint="default" w:ascii="Calibri" w:hAnsi="Calibri" w:cs="Calibri"/>
          <w:i/>
          <w:iCs/>
          <w:color w:val="FF0000"/>
          <w:sz w:val="20"/>
          <w:szCs w:val="20"/>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pPr>
        <w:pStyle w:val="39"/>
        <w:numPr>
          <w:ilvl w:val="1"/>
          <w:numId w:val="9"/>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Serão disponibilizados data e horário diferentes aos interessados em realizar a vistoria prévia. </w:t>
      </w:r>
    </w:p>
    <w:p>
      <w:pPr>
        <w:pStyle w:val="42"/>
        <w:pBdr>
          <w:bottom w:val="single" w:color="1F497D" w:sz="4" w:space="0"/>
        </w:pBdr>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Na linha do entendimento consolidado pelo TCU ainda sob o amparo da Lei nº 8.666, de 1993 (por exemplo, Acórdãos n° 2.150/2008, n° 1.599/2010, n° 2.266/2011, n° 2.776/2011, n° 110/2012 e nº 170/2018, todos do Plenário), o art. 63, § 2º, da Lei nº 14.133, de 2021,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(art. 63, §3º). </w:t>
      </w:r>
    </w:p>
    <w:p>
      <w:pPr>
        <w:pStyle w:val="42"/>
        <w:pBdr>
          <w:bottom w:val="single" w:color="1F497D" w:sz="4" w:space="0"/>
        </w:pBdr>
        <w:rPr>
          <w:rFonts w:hint="default" w:ascii="Calibri" w:hAnsi="Calibri" w:cs="Calibri"/>
          <w:szCs w:val="20"/>
        </w:rPr>
      </w:pPr>
      <w:r>
        <w:rPr>
          <w:rFonts w:hint="default" w:ascii="Calibri" w:hAnsi="Calibri" w:cs="Calibri"/>
          <w:szCs w:val="20"/>
        </w:rPr>
        <w:t>Nesse contexto, uma vez facultada a realização da vistoria prévia no Termo de Referência, os interessados terão três opções para cumprir o requisito de habilitação correspondente, conforme §§2º e 3º do art. 63, da Lei nº 14.133, de 2021, a saber:</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a) realizar a vistoria e atestar que conhece o local e as condições da realização da obra ou serviço; </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b) atestar que conhece o local e as condições da realização da obra ou serviço; </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c) declarar formalmente, por meio do respectivo responsável técnico, que possui conhecimento pleno das condições e peculiaridades da contratação. </w:t>
      </w:r>
    </w:p>
    <w:p>
      <w:pPr>
        <w:pStyle w:val="42"/>
        <w:pBdr>
          <w:bottom w:val="single" w:color="1F497D" w:sz="4" w:space="0"/>
        </w:pBdr>
        <w:rPr>
          <w:rFonts w:hint="default" w:ascii="Calibri" w:hAnsi="Calibri" w:cs="Calibri"/>
          <w:szCs w:val="20"/>
        </w:rPr>
      </w:pPr>
      <w:r>
        <w:rPr>
          <w:rFonts w:hint="default" w:ascii="Calibri" w:hAnsi="Calibri" w:cs="Calibri"/>
          <w:szCs w:val="20"/>
        </w:rPr>
        <w:t>A hipótese “a” dispensa maiores comentários, a não ser o de que é o próprio fornecedor que atesta conhecer o local e as condições, e não a Administração que tem o ônus de emitir o atestado de vistoria, como se passa no âmbito da Lei nº 8.666, de 1993.</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Já na hipótese “b”, o fornecedor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pPr>
        <w:pStyle w:val="42"/>
        <w:pBdr>
          <w:bottom w:val="single" w:color="1F497D" w:sz="4" w:space="0"/>
        </w:pBdr>
        <w:rPr>
          <w:rFonts w:hint="default" w:ascii="Calibri" w:hAnsi="Calibri" w:cs="Calibri"/>
          <w:szCs w:val="20"/>
        </w:rPr>
      </w:pPr>
      <w:r>
        <w:rPr>
          <w:rFonts w:hint="default" w:ascii="Calibri" w:hAnsi="Calibri" w:cs="Calibri"/>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pPr>
        <w:pStyle w:val="42"/>
        <w:pBdr>
          <w:bottom w:val="single" w:color="1F497D" w:sz="4" w:space="0"/>
        </w:pBdr>
        <w:rPr>
          <w:rFonts w:hint="default" w:ascii="Calibri" w:hAnsi="Calibri" w:cs="Calibri"/>
          <w:szCs w:val="20"/>
          <w:lang w:eastAsia="pt-BR"/>
        </w:rPr>
      </w:pPr>
      <w:r>
        <w:rPr>
          <w:rFonts w:hint="default" w:ascii="Calibri" w:hAnsi="Calibri" w:cs="Calibri"/>
          <w:i w:val="0"/>
          <w:iCs w:val="0"/>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r>
        <w:rPr>
          <w:rFonts w:hint="default" w:ascii="Calibri" w:hAnsi="Calibri" w:cs="Calibri"/>
          <w:szCs w:val="20"/>
        </w:rPr>
        <w:t xml:space="preserve"> </w:t>
      </w:r>
    </w:p>
    <w:p>
      <w:pPr>
        <w:pStyle w:val="39"/>
        <w:spacing w:after="0" w:line="276" w:lineRule="auto"/>
        <w:ind w:left="930"/>
        <w:jc w:val="both"/>
        <w:rPr>
          <w:rFonts w:hint="default" w:ascii="Calibri" w:hAnsi="Calibri" w:cs="Calibri"/>
          <w:i/>
          <w:color w:val="FF0000"/>
          <w:sz w:val="20"/>
          <w:szCs w:val="20"/>
        </w:rPr>
      </w:pPr>
    </w:p>
    <w:p>
      <w:pPr>
        <w:pStyle w:val="39"/>
        <w:numPr>
          <w:ilvl w:val="2"/>
          <w:numId w:val="9"/>
        </w:numPr>
        <w:spacing w:after="0" w:line="276" w:lineRule="auto"/>
        <w:jc w:val="both"/>
        <w:rPr>
          <w:rFonts w:hint="default" w:ascii="Calibri" w:hAnsi="Calibri" w:cs="Calibri"/>
          <w:i/>
          <w:color w:val="FF0000"/>
          <w:sz w:val="20"/>
          <w:szCs w:val="20"/>
        </w:rPr>
      </w:pPr>
      <w:r>
        <w:rPr>
          <w:rFonts w:hint="default" w:ascii="Calibri" w:hAnsi="Calibri" w:cs="Calibri"/>
          <w:i/>
          <w:iCs/>
          <w:color w:val="FF0000"/>
          <w:sz w:val="20"/>
          <w:szCs w:val="20"/>
        </w:rPr>
        <w:t>Para a vistoria, o representante legal da empresa ou responsável técnico deverá estar devidamente identificado, apresentando documento de identidade civil e documento expedido pela empresa comprovando sua habilitação para a realização da vistoria.</w:t>
      </w:r>
    </w:p>
    <w:p>
      <w:pPr>
        <w:pStyle w:val="39"/>
        <w:numPr>
          <w:ilvl w:val="3"/>
          <w:numId w:val="9"/>
        </w:numPr>
        <w:spacing w:after="0" w:line="276" w:lineRule="auto"/>
        <w:jc w:val="both"/>
        <w:rPr>
          <w:rFonts w:hint="default" w:ascii="Calibri" w:hAnsi="Calibri" w:cs="Calibri"/>
          <w:i/>
          <w:color w:val="FF0000"/>
          <w:sz w:val="20"/>
          <w:szCs w:val="20"/>
        </w:rPr>
      </w:pPr>
      <w:r>
        <w:rPr>
          <w:rFonts w:hint="default" w:ascii="Calibri" w:hAnsi="Calibri" w:cs="Calibri"/>
          <w:i/>
          <w:iCs/>
          <w:color w:val="FF0000"/>
          <w:sz w:val="20"/>
          <w:szCs w:val="20"/>
        </w:rPr>
        <w:t>... [incluir outras instruções sobre vistoria]</w:t>
      </w:r>
    </w:p>
    <w:p>
      <w:pPr>
        <w:pStyle w:val="39"/>
        <w:numPr>
          <w:ilvl w:val="3"/>
          <w:numId w:val="9"/>
        </w:numPr>
        <w:spacing w:after="0" w:line="276" w:lineRule="auto"/>
        <w:jc w:val="both"/>
        <w:rPr>
          <w:rFonts w:hint="default" w:ascii="Calibri" w:hAnsi="Calibri" w:cs="Calibri"/>
          <w:i/>
          <w:color w:val="FF0000"/>
          <w:sz w:val="20"/>
          <w:szCs w:val="20"/>
        </w:rPr>
      </w:pPr>
      <w:r>
        <w:rPr>
          <w:rFonts w:hint="default" w:ascii="Calibri" w:hAnsi="Calibri" w:cs="Calibri"/>
          <w:i/>
          <w:iCs/>
          <w:color w:val="FF0000"/>
          <w:sz w:val="20"/>
          <w:szCs w:val="20"/>
        </w:rPr>
        <w:t>... [incluir outras instruções sobre vistoria]</w:t>
      </w:r>
    </w:p>
    <w:p>
      <w:pPr>
        <w:pStyle w:val="39"/>
        <w:spacing w:before="120" w:after="120" w:line="276" w:lineRule="auto"/>
        <w:ind w:left="432"/>
        <w:jc w:val="both"/>
        <w:rPr>
          <w:rFonts w:hint="default" w:ascii="Calibri" w:hAnsi="Calibri" w:cs="Calibri"/>
          <w:color w:val="FF0000"/>
          <w:sz w:val="20"/>
          <w:szCs w:val="20"/>
        </w:rPr>
      </w:pPr>
    </w:p>
    <w:p>
      <w:pPr>
        <w:pStyle w:val="39"/>
        <w:numPr>
          <w:ilvl w:val="2"/>
          <w:numId w:val="9"/>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pPr>
        <w:pStyle w:val="43"/>
        <w:numPr>
          <w:ilvl w:val="0"/>
          <w:numId w:val="4"/>
        </w:numPr>
        <w:rPr>
          <w:rFonts w:hint="default" w:ascii="Calibri" w:hAnsi="Calibri" w:cs="Calibri"/>
          <w:color w:val="FF0000"/>
          <w:sz w:val="20"/>
          <w:szCs w:val="20"/>
        </w:rPr>
      </w:pPr>
      <w:r>
        <w:rPr>
          <w:rFonts w:hint="default" w:ascii="Calibri" w:hAnsi="Calibri" w:cs="Calibri"/>
          <w:color w:val="FF0000"/>
          <w:sz w:val="20"/>
          <w:szCs w:val="20"/>
        </w:rPr>
        <w:t>MODELO DE EXECUÇÃO CONTRATUAL (arts. 6º, XXIII, alínea “e” da Lei nº 14.133/2021).</w:t>
      </w:r>
    </w:p>
    <w:p>
      <w:pPr>
        <w:rPr>
          <w:rFonts w:hint="default" w:ascii="Calibri" w:hAnsi="Calibri" w:cs="Calibri"/>
          <w:sz w:val="20"/>
          <w:szCs w:val="20"/>
        </w:rPr>
      </w:pPr>
    </w:p>
    <w:p>
      <w:pPr>
        <w:pStyle w:val="42"/>
        <w:spacing w:before="0"/>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Este item deve ser adaptado de acordo com as necessidades específicas do órgão ou entidade, apresentando-se, este modelo, de forma meramente exemplificativa. Ele deve abranger a definição de como o contrato deverá produzir os resultados pretendidos desde o seu início até o seu encerramento.</w:t>
      </w:r>
    </w:p>
    <w:p>
      <w:pPr>
        <w:pStyle w:val="45"/>
        <w:spacing w:before="0" w:after="0"/>
        <w:rPr>
          <w:rFonts w:hint="default" w:ascii="Calibri" w:hAnsi="Calibri" w:cs="Calibri"/>
          <w:color w:val="FF0000"/>
          <w:sz w:val="20"/>
          <w:szCs w:val="20"/>
        </w:rPr>
      </w:pPr>
    </w:p>
    <w:p>
      <w:pPr>
        <w:pStyle w:val="45"/>
        <w:numPr>
          <w:ilvl w:val="1"/>
          <w:numId w:val="10"/>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A execução do objeto seguirá a seguinte dinâmica:</w:t>
      </w:r>
    </w:p>
    <w:p>
      <w:pPr>
        <w:pStyle w:val="45"/>
        <w:numPr>
          <w:ilvl w:val="2"/>
          <w:numId w:val="10"/>
        </w:numPr>
        <w:spacing w:before="0" w:after="0"/>
        <w:rPr>
          <w:rFonts w:hint="default" w:ascii="Calibri" w:hAnsi="Calibri" w:cs="Calibri"/>
          <w:i/>
          <w:iCs/>
          <w:color w:val="FF0000"/>
          <w:sz w:val="20"/>
          <w:szCs w:val="20"/>
        </w:rPr>
      </w:pPr>
      <w:r>
        <w:rPr>
          <w:rFonts w:hint="default" w:ascii="Calibri" w:hAnsi="Calibri" w:cs="Calibri"/>
          <w:i/>
          <w:color w:val="FF0000"/>
          <w:sz w:val="20"/>
          <w:szCs w:val="20"/>
        </w:rPr>
        <w:t>Data para início da execução do objeto: ____/_____/____;</w:t>
      </w:r>
    </w:p>
    <w:p>
      <w:pPr>
        <w:pStyle w:val="45"/>
        <w:numPr>
          <w:ilvl w:val="2"/>
          <w:numId w:val="10"/>
        </w:numPr>
        <w:spacing w:before="0" w:after="0"/>
        <w:rPr>
          <w:rFonts w:hint="default" w:ascii="Calibri" w:hAnsi="Calibri" w:cs="Calibri"/>
          <w:i/>
          <w:iCs/>
          <w:color w:val="FF0000"/>
          <w:sz w:val="20"/>
          <w:szCs w:val="20"/>
        </w:rPr>
      </w:pPr>
      <w:r>
        <w:rPr>
          <w:rFonts w:hint="default" w:ascii="Calibri" w:hAnsi="Calibri" w:cs="Calibri"/>
          <w:i/>
          <w:color w:val="FF0000"/>
          <w:sz w:val="20"/>
          <w:szCs w:val="20"/>
        </w:rPr>
        <w:t>Descrição detalhada dos métodos, rotinas, etapas, tecnologias procedimentos, frequência e periodicidade de execução do trabalho:</w:t>
      </w:r>
    </w:p>
    <w:p>
      <w:pPr>
        <w:pStyle w:val="45"/>
        <w:numPr>
          <w:ilvl w:val="2"/>
          <w:numId w:val="10"/>
        </w:numPr>
        <w:spacing w:before="0" w:after="0"/>
        <w:rPr>
          <w:rFonts w:hint="default" w:ascii="Calibri" w:hAnsi="Calibri" w:cs="Calibri"/>
          <w:i/>
          <w:color w:val="FF0000"/>
          <w:sz w:val="20"/>
          <w:szCs w:val="20"/>
        </w:rPr>
      </w:pPr>
      <w:r>
        <w:rPr>
          <w:rFonts w:hint="default" w:ascii="Calibri" w:hAnsi="Calibri" w:cs="Calibri"/>
          <w:i/>
          <w:color w:val="FF0000"/>
          <w:sz w:val="20"/>
          <w:szCs w:val="20"/>
        </w:rPr>
        <w:t>Local e horário da prestação de serviço: .................</w:t>
      </w:r>
    </w:p>
    <w:p>
      <w:pPr>
        <w:pStyle w:val="45"/>
        <w:numPr>
          <w:ilvl w:val="2"/>
          <w:numId w:val="10"/>
        </w:numPr>
        <w:spacing w:before="0" w:after="0"/>
        <w:rPr>
          <w:rFonts w:hint="default" w:ascii="Calibri" w:hAnsi="Calibri" w:cs="Calibri"/>
          <w:i/>
          <w:color w:val="FF0000"/>
          <w:sz w:val="20"/>
          <w:szCs w:val="20"/>
        </w:rPr>
      </w:pPr>
      <w:r>
        <w:rPr>
          <w:rFonts w:hint="default" w:ascii="Calibri" w:hAnsi="Calibri" w:cs="Calibri"/>
          <w:i/>
          <w:color w:val="FF0000"/>
          <w:sz w:val="20"/>
          <w:szCs w:val="20"/>
        </w:rPr>
        <w:t>Cronograma de realização dos serviços:</w:t>
      </w:r>
    </w:p>
    <w:p>
      <w:pPr>
        <w:pStyle w:val="45"/>
        <w:numPr>
          <w:ilvl w:val="2"/>
          <w:numId w:val="10"/>
        </w:numPr>
        <w:spacing w:before="0" w:after="0"/>
        <w:rPr>
          <w:rFonts w:hint="default" w:ascii="Calibri" w:hAnsi="Calibri" w:cs="Calibri"/>
          <w:i/>
          <w:color w:val="FF0000"/>
          <w:sz w:val="20"/>
          <w:szCs w:val="20"/>
        </w:rPr>
      </w:pPr>
      <w:r>
        <w:rPr>
          <w:rFonts w:hint="default" w:ascii="Calibri" w:hAnsi="Calibri" w:cs="Calibri"/>
          <w:i/>
          <w:color w:val="FF0000"/>
          <w:sz w:val="20"/>
          <w:szCs w:val="20"/>
        </w:rPr>
        <w:t>Etapa ... Período (sempre definir o começo e o término de cada etapa de modo a ficar fácil a verificação do cumprimento do cronograma)</w:t>
      </w:r>
    </w:p>
    <w:p>
      <w:pPr>
        <w:pStyle w:val="45"/>
        <w:numPr>
          <w:ilvl w:val="2"/>
          <w:numId w:val="10"/>
        </w:numPr>
        <w:spacing w:before="0" w:after="0"/>
        <w:rPr>
          <w:rFonts w:hint="default" w:ascii="Calibri" w:hAnsi="Calibri" w:cs="Calibri"/>
          <w:i/>
          <w:color w:val="FF0000"/>
          <w:sz w:val="20"/>
          <w:szCs w:val="20"/>
        </w:rPr>
      </w:pPr>
      <w:r>
        <w:rPr>
          <w:rFonts w:hint="default" w:ascii="Calibri" w:hAnsi="Calibri" w:cs="Calibri"/>
          <w:i/>
          <w:color w:val="FF0000"/>
          <w:sz w:val="20"/>
          <w:szCs w:val="20"/>
        </w:rPr>
        <w:t>Etapa ... Período / a partir de / após concluído ...</w:t>
      </w:r>
    </w:p>
    <w:p>
      <w:pPr>
        <w:pStyle w:val="45"/>
        <w:spacing w:before="0" w:after="0"/>
        <w:rPr>
          <w:rFonts w:hint="default" w:ascii="Calibri" w:hAnsi="Calibri" w:cs="Calibri"/>
          <w:i/>
          <w:iCs/>
          <w:color w:val="FF0000"/>
          <w:sz w:val="20"/>
          <w:szCs w:val="20"/>
        </w:rPr>
      </w:pPr>
    </w:p>
    <w:p>
      <w:pPr>
        <w:pStyle w:val="45"/>
        <w:spacing w:before="0" w:after="0"/>
        <w:rPr>
          <w:rFonts w:hint="default" w:ascii="Calibri" w:hAnsi="Calibri" w:cs="Calibri"/>
          <w:i/>
          <w:iCs/>
          <w:color w:val="FF0000"/>
          <w:sz w:val="20"/>
          <w:szCs w:val="20"/>
        </w:rPr>
      </w:pPr>
    </w:p>
    <w:p>
      <w:pPr>
        <w:pStyle w:val="42"/>
        <w:spacing w:before="0"/>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Recomenda-se que seja inserida data de início e data de fim de cada etapa para que fique clara a ocorrência de eventuais atrasos.</w:t>
      </w:r>
    </w:p>
    <w:p>
      <w:pPr>
        <w:pStyle w:val="45"/>
        <w:spacing w:before="0" w:after="0"/>
        <w:rPr>
          <w:rFonts w:hint="default" w:ascii="Calibri" w:hAnsi="Calibri" w:cs="Calibri"/>
          <w:i/>
          <w:iCs/>
          <w:color w:val="FF0000"/>
          <w:sz w:val="20"/>
          <w:szCs w:val="20"/>
        </w:rPr>
      </w:pPr>
    </w:p>
    <w:p>
      <w:pPr>
        <w:pStyle w:val="45"/>
        <w:numPr>
          <w:ilvl w:val="1"/>
          <w:numId w:val="10"/>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Especificações peculiares:</w:t>
      </w:r>
    </w:p>
    <w:p>
      <w:pPr>
        <w:pStyle w:val="45"/>
        <w:numPr>
          <w:ilvl w:val="2"/>
          <w:numId w:val="10"/>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45"/>
        <w:numPr>
          <w:ilvl w:val="2"/>
          <w:numId w:val="10"/>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45"/>
        <w:spacing w:before="0" w:after="0"/>
        <w:ind w:left="432"/>
        <w:rPr>
          <w:rFonts w:hint="default" w:ascii="Calibri" w:hAnsi="Calibri" w:cs="Calibri"/>
          <w:i/>
          <w:iCs/>
          <w:color w:val="FF0000"/>
          <w:sz w:val="20"/>
          <w:szCs w:val="20"/>
        </w:rPr>
      </w:pPr>
    </w:p>
    <w:p>
      <w:pPr>
        <w:pStyle w:val="43"/>
        <w:numPr>
          <w:ilvl w:val="0"/>
          <w:numId w:val="4"/>
        </w:numPr>
        <w:rPr>
          <w:rFonts w:hint="default" w:ascii="Calibri" w:hAnsi="Calibri" w:cs="Calibri"/>
          <w:i/>
          <w:iCs/>
          <w:color w:val="FF0000"/>
          <w:sz w:val="20"/>
          <w:szCs w:val="20"/>
        </w:rPr>
      </w:pPr>
      <w:r>
        <w:rPr>
          <w:rFonts w:hint="default" w:ascii="Calibri" w:hAnsi="Calibri" w:cs="Calibri"/>
          <w:i/>
          <w:iCs/>
          <w:color w:val="FF0000"/>
          <w:sz w:val="20"/>
          <w:szCs w:val="20"/>
        </w:rPr>
        <w:t>MATERIAIS A SEREM DISPONIBILIZADOS</w:t>
      </w:r>
    </w:p>
    <w:p>
      <w:pPr>
        <w:pStyle w:val="45"/>
        <w:spacing w:before="0" w:after="0"/>
        <w:ind w:left="432"/>
        <w:rPr>
          <w:rFonts w:hint="default" w:ascii="Calibri" w:hAnsi="Calibri" w:cs="Calibri"/>
          <w:bCs/>
          <w:i/>
          <w:iCs/>
          <w:color w:val="FF0000"/>
          <w:sz w:val="20"/>
          <w:szCs w:val="20"/>
        </w:rPr>
      </w:pPr>
    </w:p>
    <w:p>
      <w:pPr>
        <w:pStyle w:val="45"/>
        <w:numPr>
          <w:ilvl w:val="1"/>
          <w:numId w:val="1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pPr>
        <w:pStyle w:val="45"/>
        <w:numPr>
          <w:ilvl w:val="2"/>
          <w:numId w:val="1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5"/>
        <w:numPr>
          <w:ilvl w:val="2"/>
          <w:numId w:val="1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5"/>
        <w:numPr>
          <w:ilvl w:val="2"/>
          <w:numId w:val="1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2"/>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O CATMAT disponibiliza especificações técnicas de materiais com menor impacto ambiental (CATMAT Sustentável).</w:t>
      </w:r>
    </w:p>
    <w:p>
      <w:pPr>
        <w:rPr>
          <w:rFonts w:hint="default" w:ascii="Calibri" w:hAnsi="Calibri" w:cs="Calibri"/>
          <w:sz w:val="20"/>
          <w:szCs w:val="20"/>
        </w:rPr>
      </w:pPr>
    </w:p>
    <w:p>
      <w:pPr>
        <w:pStyle w:val="43"/>
        <w:numPr>
          <w:ilvl w:val="0"/>
          <w:numId w:val="4"/>
        </w:numPr>
        <w:rPr>
          <w:rFonts w:hint="default" w:ascii="Calibri" w:hAnsi="Calibri" w:cs="Calibri"/>
          <w:i/>
          <w:iCs/>
          <w:color w:val="FF0000"/>
          <w:sz w:val="20"/>
          <w:szCs w:val="20"/>
        </w:rPr>
      </w:pPr>
      <w:r>
        <w:rPr>
          <w:rFonts w:hint="default" w:ascii="Calibri" w:hAnsi="Calibri" w:cs="Calibri"/>
          <w:i/>
          <w:iCs/>
          <w:color w:val="FF0000"/>
          <w:sz w:val="20"/>
          <w:szCs w:val="20"/>
        </w:rPr>
        <w:t>INFORMAÇÕES RELEVANTES PARA O DIMENSIONAMENTO DA PROPOSTA</w:t>
      </w:r>
    </w:p>
    <w:p>
      <w:pPr>
        <w:pStyle w:val="39"/>
        <w:numPr>
          <w:ilvl w:val="1"/>
          <w:numId w:val="12"/>
        </w:numPr>
        <w:ind w:left="851"/>
        <w:rPr>
          <w:rFonts w:hint="default" w:ascii="Calibri" w:hAnsi="Calibri" w:cs="Calibri"/>
          <w:sz w:val="20"/>
          <w:szCs w:val="20"/>
        </w:rPr>
      </w:pPr>
      <w:r>
        <w:rPr>
          <w:rFonts w:hint="default" w:ascii="Calibri" w:hAnsi="Calibri" w:eastAsia="Times New Roman" w:cs="Calibri"/>
          <w:bCs/>
          <w:i/>
          <w:iCs/>
          <w:color w:val="FF0000"/>
          <w:sz w:val="20"/>
          <w:szCs w:val="20"/>
          <w:lang w:eastAsia="pt-BR"/>
        </w:rPr>
        <w:t>A demanda do órgão tem como base as seguintes características:</w:t>
      </w:r>
    </w:p>
    <w:p>
      <w:pPr>
        <w:pStyle w:val="39"/>
        <w:numPr>
          <w:ilvl w:val="2"/>
          <w:numId w:val="12"/>
        </w:numPr>
        <w:ind w:left="1701"/>
        <w:rPr>
          <w:rFonts w:hint="default" w:ascii="Calibri" w:hAnsi="Calibri" w:cs="Calibri"/>
          <w:sz w:val="20"/>
          <w:szCs w:val="20"/>
        </w:rPr>
      </w:pPr>
      <w:r>
        <w:rPr>
          <w:rFonts w:hint="default" w:ascii="Calibri" w:hAnsi="Calibri" w:eastAsia="Times New Roman" w:cs="Calibri"/>
          <w:bCs/>
          <w:i/>
          <w:iCs/>
          <w:color w:val="FF0000"/>
          <w:sz w:val="20"/>
          <w:szCs w:val="20"/>
          <w:lang w:eastAsia="pt-BR"/>
        </w:rPr>
        <w:t>(...)</w:t>
      </w:r>
    </w:p>
    <w:p>
      <w:pPr>
        <w:pStyle w:val="39"/>
        <w:numPr>
          <w:ilvl w:val="2"/>
          <w:numId w:val="12"/>
        </w:numPr>
        <w:ind w:left="1701"/>
        <w:rPr>
          <w:rFonts w:hint="default" w:ascii="Calibri" w:hAnsi="Calibri" w:cs="Calibri"/>
          <w:sz w:val="20"/>
          <w:szCs w:val="20"/>
        </w:rPr>
      </w:pPr>
      <w:r>
        <w:rPr>
          <w:rFonts w:hint="default" w:ascii="Calibri" w:hAnsi="Calibri" w:eastAsia="Times New Roman" w:cs="Calibri"/>
          <w:bCs/>
          <w:i/>
          <w:iCs/>
          <w:color w:val="FF0000"/>
          <w:sz w:val="20"/>
          <w:szCs w:val="20"/>
          <w:lang w:eastAsia="pt-BR"/>
        </w:rPr>
        <w:t>(...)</w:t>
      </w:r>
    </w:p>
    <w:p>
      <w:pPr>
        <w:pStyle w:val="39"/>
        <w:numPr>
          <w:ilvl w:val="2"/>
          <w:numId w:val="12"/>
        </w:numPr>
        <w:tabs>
          <w:tab w:val="left" w:pos="1701"/>
        </w:tabs>
        <w:ind w:left="1701"/>
        <w:rPr>
          <w:rFonts w:hint="default" w:ascii="Calibri" w:hAnsi="Calibri" w:cs="Calibri"/>
          <w:sz w:val="20"/>
          <w:szCs w:val="20"/>
        </w:rPr>
      </w:pPr>
      <w:r>
        <w:rPr>
          <w:rFonts w:hint="default" w:ascii="Calibri" w:hAnsi="Calibri" w:eastAsia="Times New Roman" w:cs="Calibri"/>
          <w:bCs/>
          <w:i/>
          <w:iCs/>
          <w:color w:val="FF0000"/>
          <w:sz w:val="20"/>
          <w:szCs w:val="20"/>
          <w:lang w:eastAsia="pt-BR"/>
        </w:rPr>
        <w:t xml:space="preserve"> Etc</w:t>
      </w:r>
    </w:p>
    <w:p>
      <w:pPr>
        <w:pStyle w:val="42"/>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pPr>
        <w:rPr>
          <w:rFonts w:hint="default" w:ascii="Calibri" w:hAnsi="Calibri" w:cs="Calibri"/>
          <w:sz w:val="20"/>
          <w:szCs w:val="20"/>
        </w:rPr>
      </w:pPr>
    </w:p>
    <w:p>
      <w:pPr>
        <w:pStyle w:val="43"/>
        <w:numPr>
          <w:ilvl w:val="0"/>
          <w:numId w:val="4"/>
        </w:numPr>
        <w:rPr>
          <w:rFonts w:hint="default" w:ascii="Calibri" w:hAnsi="Calibri" w:eastAsia="Times New Roman" w:cs="Calibri"/>
          <w:b w:val="0"/>
          <w:sz w:val="20"/>
          <w:szCs w:val="20"/>
        </w:rPr>
      </w:pPr>
      <w:r>
        <w:rPr>
          <w:rFonts w:hint="default" w:ascii="Calibri" w:hAnsi="Calibri" w:eastAsia="Times New Roman" w:cs="Calibri"/>
          <w:sz w:val="20"/>
          <w:szCs w:val="20"/>
        </w:rPr>
        <w:t>MODELO DE GESTÃO DO CONTRATO (art. 6º, XXIII, alínea “f” da Lei nº 14.133/21).</w:t>
      </w:r>
    </w:p>
    <w:p>
      <w:pPr>
        <w:spacing w:after="0" w:line="276" w:lineRule="auto"/>
        <w:jc w:val="both"/>
        <w:rPr>
          <w:rFonts w:hint="default" w:ascii="Calibri" w:hAnsi="Calibri" w:cs="Calibri"/>
          <w:sz w:val="20"/>
          <w:szCs w:val="20"/>
        </w:rPr>
      </w:pPr>
    </w:p>
    <w:p>
      <w:pPr>
        <w:pStyle w:val="43"/>
        <w:numPr>
          <w:ilvl w:val="1"/>
          <w:numId w:val="4"/>
        </w:numPr>
        <w:rPr>
          <w:rFonts w:hint="default" w:ascii="Calibri" w:hAnsi="Calibri" w:cs="Calibri"/>
          <w:sz w:val="20"/>
          <w:szCs w:val="20"/>
        </w:rPr>
      </w:pPr>
      <w:r>
        <w:rPr>
          <w:rFonts w:hint="default" w:ascii="Calibri" w:hAnsi="Calibri" w:eastAsia="Times New Roman" w:cs="Calibri"/>
          <w:sz w:val="20"/>
          <w:szCs w:val="20"/>
        </w:rPr>
        <w:t>ROTINAS</w:t>
      </w:r>
      <w:r>
        <w:rPr>
          <w:rFonts w:hint="default" w:ascii="Calibri" w:hAnsi="Calibri" w:cs="Calibri"/>
          <w:bCs/>
          <w:sz w:val="20"/>
          <w:szCs w:val="20"/>
        </w:rPr>
        <w:t xml:space="preserve"> DE FISCALIZAÇÃO CONTRATUAL</w:t>
      </w:r>
    </w:p>
    <w:p>
      <w:pPr>
        <w:pStyle w:val="39"/>
        <w:numPr>
          <w:ilvl w:val="0"/>
          <w:numId w:val="12"/>
        </w:numPr>
        <w:tabs>
          <w:tab w:val="left" w:pos="1134"/>
        </w:tabs>
        <w:jc w:val="both"/>
        <w:rPr>
          <w:rFonts w:hint="default" w:ascii="Calibri" w:hAnsi="Calibri" w:cs="Calibri"/>
          <w:vanish/>
          <w:sz w:val="20"/>
          <w:szCs w:val="20"/>
        </w:rPr>
      </w:pPr>
    </w:p>
    <w:p>
      <w:pPr>
        <w:pStyle w:val="39"/>
        <w:numPr>
          <w:ilvl w:val="1"/>
          <w:numId w:val="12"/>
        </w:numPr>
        <w:tabs>
          <w:tab w:val="left" w:pos="1134"/>
        </w:tabs>
        <w:jc w:val="both"/>
        <w:rPr>
          <w:rFonts w:hint="default" w:ascii="Calibri" w:hAnsi="Calibri" w:cs="Calibri"/>
          <w:vanish/>
          <w:sz w:val="20"/>
          <w:szCs w:val="20"/>
        </w:rPr>
      </w:pPr>
    </w:p>
    <w:p>
      <w:pPr>
        <w:pStyle w:val="39"/>
        <w:numPr>
          <w:ilvl w:val="2"/>
          <w:numId w:val="12"/>
        </w:numPr>
        <w:tabs>
          <w:tab w:val="left" w:pos="1134"/>
        </w:tabs>
        <w:ind w:left="1134"/>
        <w:jc w:val="both"/>
        <w:rPr>
          <w:rFonts w:hint="default" w:ascii="Calibri" w:hAnsi="Calibri" w:cs="Calibri"/>
          <w:sz w:val="20"/>
          <w:szCs w:val="20"/>
        </w:rPr>
      </w:pPr>
      <w:r>
        <w:rPr>
          <w:rFonts w:hint="default" w:ascii="Calibri" w:hAnsi="Calibri" w:cs="Calibri"/>
          <w:sz w:val="20"/>
          <w:szCs w:val="20"/>
        </w:rPr>
        <w:t xml:space="preserve">O contrato deverá ser executado fielmente pelas partes, de acordo com as cláusulas </w:t>
      </w:r>
      <w:r>
        <w:rPr>
          <w:rFonts w:hint="default" w:ascii="Calibri" w:hAnsi="Calibri" w:eastAsia="Times New Roman" w:cs="Calibri"/>
          <w:sz w:val="20"/>
          <w:szCs w:val="20"/>
        </w:rPr>
        <w:t>avençadas</w:t>
      </w:r>
      <w:r>
        <w:rPr>
          <w:rFonts w:hint="default" w:ascii="Calibri" w:hAnsi="Calibri" w:cs="Calibri"/>
          <w:sz w:val="20"/>
          <w:szCs w:val="20"/>
        </w:rPr>
        <w:t xml:space="preserve"> e as normas da Lei nº 14.133, de 2021, e cada parte responderá pelas consequências de sua inexecução total ou parcial (Lei nº 14.133/2021, art. 115, </w:t>
      </w:r>
      <w:r>
        <w:rPr>
          <w:rFonts w:hint="default" w:ascii="Calibri" w:hAnsi="Calibri" w:cs="Calibri"/>
          <w:i/>
          <w:iCs/>
          <w:sz w:val="20"/>
          <w:szCs w:val="20"/>
        </w:rPr>
        <w:t>caput</w:t>
      </w:r>
      <w:r>
        <w:rPr>
          <w:rFonts w:hint="default" w:ascii="Calibri" w:hAnsi="Calibri" w:cs="Calibri"/>
          <w:sz w:val="20"/>
          <w:szCs w:val="20"/>
        </w:rPr>
        <w:t>).</w:t>
      </w:r>
    </w:p>
    <w:p>
      <w:pPr>
        <w:pStyle w:val="39"/>
        <w:numPr>
          <w:ilvl w:val="2"/>
          <w:numId w:val="12"/>
        </w:numPr>
        <w:tabs>
          <w:tab w:val="left" w:pos="1134"/>
        </w:tabs>
        <w:ind w:left="1134"/>
        <w:jc w:val="both"/>
        <w:rPr>
          <w:rFonts w:hint="default" w:ascii="Calibri" w:hAnsi="Calibri" w:cs="Calibri"/>
          <w:sz w:val="20"/>
          <w:szCs w:val="20"/>
        </w:rPr>
      </w:pPr>
      <w:bookmarkStart w:id="1" w:name="art115§5"/>
      <w:bookmarkEnd w:id="1"/>
      <w:bookmarkStart w:id="2" w:name="art115§1"/>
      <w:bookmarkEnd w:id="2"/>
      <w:r>
        <w:rPr>
          <w:rFonts w:hint="default" w:ascii="Calibri" w:hAnsi="Calibri" w:cs="Calibri"/>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pPr>
        <w:pStyle w:val="39"/>
        <w:numPr>
          <w:ilvl w:val="2"/>
          <w:numId w:val="12"/>
        </w:numPr>
        <w:tabs>
          <w:tab w:val="left" w:pos="1134"/>
        </w:tabs>
        <w:ind w:left="1134"/>
        <w:jc w:val="both"/>
        <w:rPr>
          <w:rFonts w:hint="default" w:ascii="Calibri" w:hAnsi="Calibri" w:cs="Calibri"/>
          <w:sz w:val="20"/>
          <w:szCs w:val="20"/>
        </w:rPr>
      </w:pPr>
      <w:bookmarkStart w:id="3" w:name="art116"/>
      <w:bookmarkEnd w:id="3"/>
      <w:r>
        <w:rPr>
          <w:rFonts w:hint="default" w:ascii="Calibri" w:hAnsi="Calibri" w:cs="Calibri"/>
          <w:sz w:val="20"/>
          <w:szCs w:val="20"/>
        </w:rPr>
        <w:t>A execução do contrato deverá ser acompanhada e fiscalizada pelo(s) fiscal(is) do contrato, ou pelos respectivos substitutos (Lei nº 14.133/2021, art. 117, caput).</w:t>
      </w:r>
    </w:p>
    <w:p>
      <w:pPr>
        <w:pBdr>
          <w:top w:val="single" w:color="1F497D" w:sz="4" w:space="1"/>
          <w:left w:val="single" w:color="1F497D" w:sz="4" w:space="4"/>
          <w:bottom w:val="single" w:color="1F497D" w:sz="4" w:space="1"/>
          <w:right w:val="single" w:color="1F497D" w:sz="4" w:space="4"/>
        </w:pBdr>
        <w:shd w:val="clear" w:color="auto" w:fill="FFFFCC"/>
        <w:spacing w:after="0" w:line="276" w:lineRule="auto"/>
        <w:jc w:val="both"/>
        <w:rPr>
          <w:rFonts w:hint="default" w:ascii="Calibri" w:hAnsi="Calibri" w:eastAsia="Calibri" w:cs="Calibri"/>
          <w:i/>
          <w:iCs/>
          <w:color w:val="000000"/>
          <w:sz w:val="20"/>
          <w:szCs w:val="20"/>
        </w:rPr>
      </w:pPr>
      <w:r>
        <w:rPr>
          <w:rFonts w:hint="default" w:ascii="Calibri" w:hAnsi="Calibri" w:eastAsia="Calibri" w:cs="Calibri"/>
          <w:b/>
          <w:bCs/>
          <w:i/>
          <w:iCs/>
          <w:color w:val="000000"/>
          <w:sz w:val="20"/>
          <w:szCs w:val="20"/>
        </w:rPr>
        <w:t>Nota explicativa:</w:t>
      </w:r>
      <w:r>
        <w:rPr>
          <w:rFonts w:hint="default" w:ascii="Calibri" w:hAnsi="Calibri" w:eastAsia="Calibri" w:cs="Calibri"/>
          <w:i/>
          <w:iCs/>
          <w:color w:val="000000"/>
          <w:sz w:val="20"/>
          <w:szCs w:val="20"/>
        </w:rPr>
        <w:t xml:space="preserve"> Os fiscais do contrato serão designados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bookmarkStart w:id="4" w:name="art117§1"/>
      <w:bookmarkEnd w:id="4"/>
    </w:p>
    <w:p>
      <w:pPr>
        <w:pStyle w:val="39"/>
        <w:numPr>
          <w:ilvl w:val="3"/>
          <w:numId w:val="12"/>
        </w:numPr>
        <w:tabs>
          <w:tab w:val="left" w:pos="1134"/>
        </w:tabs>
        <w:spacing w:line="276" w:lineRule="auto"/>
        <w:ind w:left="2127"/>
        <w:jc w:val="both"/>
        <w:rPr>
          <w:rFonts w:hint="default" w:ascii="Calibri" w:hAnsi="Calibri" w:cs="Calibri"/>
          <w:sz w:val="20"/>
          <w:szCs w:val="20"/>
        </w:rPr>
      </w:pPr>
      <w:r>
        <w:rPr>
          <w:rFonts w:hint="default" w:ascii="Calibri" w:hAnsi="Calibri" w:cs="Calibri"/>
          <w:sz w:val="20"/>
          <w:szCs w:val="20"/>
        </w:rPr>
        <w:t>O fiscal do contrato anotará em registro próprio todas as ocorrências relacionadas à execução do contrato, determinando o que for necessário para a regularização das faltas ou dos defeitos observados (Lei nº 14.133/2021, art. 117, §1º).</w:t>
      </w:r>
    </w:p>
    <w:p>
      <w:pPr>
        <w:pStyle w:val="39"/>
        <w:numPr>
          <w:ilvl w:val="3"/>
          <w:numId w:val="12"/>
        </w:numPr>
        <w:tabs>
          <w:tab w:val="left" w:pos="1134"/>
        </w:tabs>
        <w:spacing w:after="0" w:line="276" w:lineRule="auto"/>
        <w:ind w:left="2127"/>
        <w:jc w:val="both"/>
        <w:rPr>
          <w:rFonts w:hint="default" w:ascii="Calibri" w:hAnsi="Calibri" w:cs="Calibri"/>
          <w:sz w:val="20"/>
          <w:szCs w:val="20"/>
        </w:rPr>
      </w:pPr>
      <w:bookmarkStart w:id="5" w:name="art117§2"/>
      <w:bookmarkEnd w:id="5"/>
      <w:r>
        <w:rPr>
          <w:rFonts w:hint="default" w:ascii="Calibri" w:hAnsi="Calibri" w:cs="Calibri"/>
          <w:sz w:val="20"/>
          <w:szCs w:val="20"/>
        </w:rPr>
        <w:t>O fiscal do contrato informará a seus superiores, em tempo hábil para a adoção das medidas convenientes, a situação que demandar decisão ou providência que ultrapasse sua competência (Lei nº 14.133/2021, art. 117, §2º).</w:t>
      </w:r>
    </w:p>
    <w:p>
      <w:pPr>
        <w:pStyle w:val="39"/>
        <w:numPr>
          <w:ilvl w:val="2"/>
          <w:numId w:val="12"/>
        </w:numPr>
        <w:tabs>
          <w:tab w:val="left" w:pos="1134"/>
        </w:tabs>
        <w:spacing w:after="0" w:line="276" w:lineRule="auto"/>
        <w:ind w:left="1134"/>
        <w:jc w:val="both"/>
        <w:rPr>
          <w:rFonts w:hint="default" w:ascii="Calibri" w:hAnsi="Calibri" w:cs="Calibri"/>
          <w:sz w:val="20"/>
          <w:szCs w:val="20"/>
        </w:rPr>
      </w:pPr>
      <w:r>
        <w:rPr>
          <w:rFonts w:hint="default" w:ascii="Calibri" w:hAnsi="Calibri" w:cs="Calibri"/>
          <w:color w:val="000000"/>
          <w:sz w:val="20"/>
          <w:szCs w:val="20"/>
        </w:rPr>
        <w:t xml:space="preserve">O contratado deverá manter preposto aceito pela Administração no local da obra ou do serviço para </w:t>
      </w:r>
      <w:r>
        <w:rPr>
          <w:rFonts w:hint="default" w:ascii="Calibri" w:hAnsi="Calibri" w:cs="Calibri"/>
          <w:sz w:val="20"/>
          <w:szCs w:val="20"/>
        </w:rPr>
        <w:t>representá</w:t>
      </w:r>
      <w:r>
        <w:rPr>
          <w:rFonts w:hint="default" w:ascii="Calibri" w:hAnsi="Calibri" w:cs="Calibri"/>
          <w:color w:val="000000"/>
          <w:sz w:val="20"/>
          <w:szCs w:val="20"/>
        </w:rPr>
        <w:t>-lo na execução do contrato. (Lei nº 14.133/2021, art. 118).</w:t>
      </w:r>
    </w:p>
    <w:p>
      <w:pPr>
        <w:pStyle w:val="39"/>
        <w:numPr>
          <w:ilvl w:val="3"/>
          <w:numId w:val="12"/>
        </w:numPr>
        <w:tabs>
          <w:tab w:val="left" w:pos="1134"/>
        </w:tabs>
        <w:spacing w:after="0" w:line="276" w:lineRule="auto"/>
        <w:ind w:left="2127"/>
        <w:jc w:val="both"/>
        <w:rPr>
          <w:rFonts w:hint="default" w:ascii="Calibri" w:hAnsi="Calibri" w:cs="Calibri"/>
          <w:sz w:val="20"/>
          <w:szCs w:val="20"/>
        </w:rPr>
      </w:pPr>
      <w:r>
        <w:rPr>
          <w:rFonts w:hint="default" w:ascii="Calibri" w:hAnsi="Calibri" w:cs="Calibri"/>
          <w:sz w:val="20"/>
          <w:szCs w:val="20"/>
        </w:rPr>
        <w:t>A indicação ou a manutenção do preposto da empresa poderá ser recusada pelo órgão ou entidade, desde que devidamente justificada, devendo a empresa designar outro para o exercício da atividade (IN 5, art. 44, §1º), no prazo indicado pelo fiscal.</w:t>
      </w:r>
    </w:p>
    <w:p>
      <w:pPr>
        <w:spacing w:after="0" w:line="276" w:lineRule="auto"/>
        <w:jc w:val="both"/>
        <w:rPr>
          <w:rFonts w:hint="default" w:ascii="Calibri" w:hAnsi="Calibri" w:cs="Calibri"/>
          <w:sz w:val="20"/>
          <w:szCs w:val="20"/>
        </w:rPr>
      </w:pPr>
    </w:p>
    <w:p>
      <w:pPr>
        <w:pBdr>
          <w:top w:val="single" w:color="1F497D" w:sz="4" w:space="1"/>
          <w:left w:val="single" w:color="1F497D" w:sz="4" w:space="4"/>
          <w:bottom w:val="single" w:color="1F497D" w:sz="4" w:space="1"/>
          <w:right w:val="single" w:color="1F497D" w:sz="4" w:space="4"/>
        </w:pBdr>
        <w:shd w:val="clear" w:color="auto" w:fill="FFFFCC"/>
        <w:spacing w:after="0" w:line="276" w:lineRule="auto"/>
        <w:jc w:val="both"/>
        <w:rPr>
          <w:rFonts w:hint="default" w:ascii="Calibri" w:hAnsi="Calibri" w:cs="Calibri"/>
          <w:sz w:val="20"/>
          <w:szCs w:val="20"/>
        </w:rPr>
      </w:pPr>
      <w:r>
        <w:rPr>
          <w:rFonts w:hint="default" w:ascii="Calibri" w:hAnsi="Calibri" w:eastAsia="Calibri" w:cs="Calibri"/>
          <w:b/>
          <w:bCs/>
          <w:i/>
          <w:iCs/>
          <w:color w:val="000000"/>
          <w:sz w:val="20"/>
          <w:szCs w:val="20"/>
        </w:rPr>
        <w:t xml:space="preserve">Nota Explicativa: </w:t>
      </w:r>
      <w:r>
        <w:rPr>
          <w:rFonts w:hint="default" w:ascii="Calibri" w:hAnsi="Calibri" w:eastAsia="Calibri" w:cs="Calibri"/>
          <w:i/>
          <w:iCs/>
          <w:color w:val="000000"/>
          <w:sz w:val="20"/>
          <w:szCs w:val="20"/>
        </w:rPr>
        <w:t>Nos termos do art. 44, §4º da IN 5/2017 (aplicável por força da IN SEGES/ME nº 75, de 2021), a depender da natureza dos serviços, poderá ser exigida a manutenção do preposto da empresa no local da execução do objeto, bem como pode ser estabelecido sistema de escala semanal ou mensal.</w:t>
      </w:r>
    </w:p>
    <w:p>
      <w:pPr>
        <w:spacing w:after="0" w:line="276" w:lineRule="auto"/>
        <w:jc w:val="both"/>
        <w:rPr>
          <w:rFonts w:hint="default" w:ascii="Calibri" w:hAnsi="Calibri" w:cs="Calibri"/>
          <w:sz w:val="20"/>
          <w:szCs w:val="20"/>
        </w:rPr>
      </w:pPr>
    </w:p>
    <w:p>
      <w:pPr>
        <w:pStyle w:val="39"/>
        <w:numPr>
          <w:ilvl w:val="2"/>
          <w:numId w:val="12"/>
        </w:numPr>
        <w:tabs>
          <w:tab w:val="left" w:pos="1134"/>
        </w:tabs>
        <w:spacing w:after="0" w:line="276" w:lineRule="auto"/>
        <w:ind w:left="1134"/>
        <w:jc w:val="both"/>
        <w:rPr>
          <w:rFonts w:hint="default" w:ascii="Calibri" w:hAnsi="Calibri" w:cs="Calibri"/>
          <w:color w:val="000000"/>
          <w:sz w:val="20"/>
          <w:szCs w:val="20"/>
        </w:rPr>
      </w:pPr>
      <w:bookmarkStart w:id="6" w:name="art123"/>
      <w:bookmarkEnd w:id="6"/>
      <w:bookmarkStart w:id="7" w:name="art122§3"/>
      <w:bookmarkEnd w:id="7"/>
      <w:bookmarkStart w:id="8" w:name="art122§2"/>
      <w:bookmarkEnd w:id="8"/>
      <w:bookmarkStart w:id="9" w:name="art122§1"/>
      <w:bookmarkEnd w:id="9"/>
      <w:bookmarkStart w:id="10" w:name="art122"/>
      <w:bookmarkEnd w:id="10"/>
      <w:r>
        <w:rPr>
          <w:rFonts w:hint="default" w:ascii="Calibri" w:hAnsi="Calibri" w:cs="Calibri"/>
          <w:color w:val="000000"/>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pPr>
        <w:pStyle w:val="39"/>
        <w:numPr>
          <w:ilvl w:val="2"/>
          <w:numId w:val="12"/>
        </w:numPr>
        <w:tabs>
          <w:tab w:val="left" w:pos="1134"/>
        </w:tabs>
        <w:spacing w:after="0" w:line="276" w:lineRule="auto"/>
        <w:ind w:left="1134"/>
        <w:jc w:val="both"/>
        <w:rPr>
          <w:rFonts w:hint="default" w:ascii="Calibri" w:hAnsi="Calibri" w:cs="Calibri"/>
          <w:color w:val="000000"/>
          <w:sz w:val="20"/>
          <w:szCs w:val="20"/>
        </w:rPr>
      </w:pPr>
      <w:bookmarkStart w:id="11" w:name="art120"/>
      <w:bookmarkEnd w:id="11"/>
      <w:r>
        <w:rPr>
          <w:rFonts w:hint="default" w:ascii="Calibri" w:hAnsi="Calibri" w:cs="Calibri"/>
          <w:color w:val="000000"/>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pPr>
        <w:pStyle w:val="39"/>
        <w:numPr>
          <w:ilvl w:val="2"/>
          <w:numId w:val="12"/>
        </w:numPr>
        <w:tabs>
          <w:tab w:val="left" w:pos="1134"/>
        </w:tabs>
        <w:spacing w:after="0" w:line="276" w:lineRule="auto"/>
        <w:ind w:left="1134"/>
        <w:jc w:val="both"/>
        <w:rPr>
          <w:rFonts w:hint="default" w:ascii="Calibri" w:hAnsi="Calibri" w:cs="Calibri"/>
          <w:color w:val="000000"/>
          <w:sz w:val="20"/>
          <w:szCs w:val="20"/>
        </w:rPr>
      </w:pPr>
      <w:bookmarkStart w:id="12" w:name="art121"/>
      <w:bookmarkEnd w:id="12"/>
      <w:r>
        <w:rPr>
          <w:rFonts w:hint="default" w:ascii="Calibri" w:hAnsi="Calibri" w:cs="Calibri"/>
          <w:color w:val="000000"/>
          <w:sz w:val="20"/>
          <w:szCs w:val="20"/>
        </w:rPr>
        <w:t>Somente o contratado será responsável pelos encargos trabalhistas, previdenciários, fiscais e comerciais resultantes da execução do contrato (Lei nº 14.133/2021, art. 121, caput).</w:t>
      </w:r>
    </w:p>
    <w:p>
      <w:pPr>
        <w:pStyle w:val="39"/>
        <w:numPr>
          <w:ilvl w:val="3"/>
          <w:numId w:val="12"/>
        </w:numPr>
        <w:tabs>
          <w:tab w:val="left" w:pos="1134"/>
        </w:tabs>
        <w:spacing w:after="0" w:line="276" w:lineRule="auto"/>
        <w:ind w:left="2127"/>
        <w:jc w:val="both"/>
        <w:rPr>
          <w:rFonts w:hint="default" w:ascii="Calibri" w:hAnsi="Calibri" w:eastAsia="Times New Roman" w:cs="Calibri"/>
          <w:sz w:val="20"/>
          <w:szCs w:val="20"/>
          <w:lang w:eastAsia="pt-BR"/>
        </w:rPr>
      </w:pPr>
      <w:bookmarkStart w:id="13" w:name="art121§1"/>
      <w:bookmarkEnd w:id="13"/>
      <w:r>
        <w:rPr>
          <w:rFonts w:hint="default" w:ascii="Calibri" w:hAnsi="Calibri" w:eastAsia="Times New Roman" w:cs="Calibri"/>
          <w:sz w:val="20"/>
          <w:szCs w:val="20"/>
          <w:lang w:eastAsia="pt-BR"/>
        </w:rPr>
        <w:t xml:space="preserve">A inadimplência do contratado em relação aos encargos trabalhistas, fiscais e </w:t>
      </w:r>
      <w:r>
        <w:rPr>
          <w:rFonts w:hint="default" w:ascii="Calibri" w:hAnsi="Calibri" w:cs="Calibri"/>
          <w:sz w:val="20"/>
          <w:szCs w:val="20"/>
        </w:rPr>
        <w:t>comerciais</w:t>
      </w:r>
      <w:r>
        <w:rPr>
          <w:rFonts w:hint="default" w:ascii="Calibri" w:hAnsi="Calibri" w:eastAsia="Times New Roman" w:cs="Calibri"/>
          <w:sz w:val="20"/>
          <w:szCs w:val="20"/>
          <w:lang w:eastAsia="pt-BR"/>
        </w:rPr>
        <w:t xml:space="preserve"> não transferirá à Administração a responsabilidade pelo seu pagamento e não poderá onerar o objeto do contrato (Lei nº 14.133/2021, art. 121, §1º).</w:t>
      </w:r>
    </w:p>
    <w:p>
      <w:pPr>
        <w:pStyle w:val="39"/>
        <w:numPr>
          <w:ilvl w:val="2"/>
          <w:numId w:val="12"/>
        </w:numPr>
        <w:tabs>
          <w:tab w:val="left" w:pos="1134"/>
        </w:tabs>
        <w:spacing w:after="0" w:line="276" w:lineRule="auto"/>
        <w:ind w:left="1134"/>
        <w:jc w:val="both"/>
        <w:rPr>
          <w:rFonts w:hint="default" w:ascii="Calibri" w:hAnsi="Calibri" w:cs="Calibri"/>
          <w:color w:val="000000"/>
          <w:sz w:val="20"/>
          <w:szCs w:val="20"/>
        </w:rPr>
      </w:pPr>
      <w:r>
        <w:rPr>
          <w:rFonts w:hint="default" w:ascii="Calibri" w:hAnsi="Calibri" w:cs="Calibri"/>
          <w:color w:val="000000"/>
          <w:sz w:val="20"/>
          <w:szCs w:val="20"/>
        </w:rPr>
        <w:t>As comunicações entre o órgão ou entidade e a contratada devem ser realizadas por escrito sempre que o ato exigir tal formalidade, admitindo-se, excepcionalmente, o uso de mensagem eletrônica para esse fim (IN 5/2017, art. 44, §2º).</w:t>
      </w:r>
    </w:p>
    <w:p>
      <w:pPr>
        <w:pStyle w:val="39"/>
        <w:numPr>
          <w:ilvl w:val="2"/>
          <w:numId w:val="12"/>
        </w:numPr>
        <w:tabs>
          <w:tab w:val="left" w:pos="1134"/>
        </w:tabs>
        <w:spacing w:after="0" w:line="276" w:lineRule="auto"/>
        <w:ind w:left="1134"/>
        <w:jc w:val="both"/>
        <w:rPr>
          <w:rFonts w:hint="default" w:ascii="Calibri" w:hAnsi="Calibri" w:cs="Calibri"/>
          <w:color w:val="000000"/>
          <w:sz w:val="20"/>
          <w:szCs w:val="20"/>
        </w:rPr>
      </w:pPr>
      <w:r>
        <w:rPr>
          <w:rFonts w:hint="default" w:ascii="Calibri" w:hAnsi="Calibri" w:cs="Calibri"/>
          <w:color w:val="000000"/>
          <w:sz w:val="20"/>
          <w:szCs w:val="20"/>
        </w:rPr>
        <w:t>O órgão ou entidade poderá convocar representante da empresa para adoção de providências que devam ser cumpridas de imediato (IN 5/2017, art. 44, §3º).</w:t>
      </w:r>
    </w:p>
    <w:p>
      <w:pPr>
        <w:pStyle w:val="39"/>
        <w:numPr>
          <w:ilvl w:val="2"/>
          <w:numId w:val="12"/>
        </w:numPr>
        <w:tabs>
          <w:tab w:val="left" w:pos="1134"/>
        </w:tabs>
        <w:spacing w:after="0" w:line="276" w:lineRule="auto"/>
        <w:ind w:left="1134"/>
        <w:jc w:val="both"/>
        <w:rPr>
          <w:rFonts w:hint="default" w:ascii="Calibri" w:hAnsi="Calibri" w:cs="Calibri"/>
          <w:i/>
          <w:iCs/>
          <w:color w:val="FF0000"/>
          <w:sz w:val="20"/>
          <w:szCs w:val="20"/>
        </w:rPr>
      </w:pPr>
      <w:r>
        <w:rPr>
          <w:rFonts w:hint="default" w:ascii="Calibri" w:hAnsi="Calibri" w:cs="Calibri"/>
          <w:i/>
          <w:iCs/>
          <w:color w:val="FF0000"/>
          <w:sz w:val="20"/>
          <w:szCs w:val="20"/>
        </w:rPr>
        <w:t>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pPr>
        <w:pStyle w:val="39"/>
        <w:numPr>
          <w:ilvl w:val="2"/>
          <w:numId w:val="12"/>
        </w:numPr>
        <w:tabs>
          <w:tab w:val="left" w:pos="1134"/>
        </w:tabs>
        <w:spacing w:after="0" w:line="276" w:lineRule="auto"/>
        <w:ind w:left="1134"/>
        <w:jc w:val="both"/>
        <w:rPr>
          <w:rFonts w:hint="default" w:ascii="Calibri" w:hAnsi="Calibri" w:cs="Calibri"/>
          <w:color w:val="000000"/>
          <w:sz w:val="20"/>
          <w:szCs w:val="20"/>
        </w:rPr>
      </w:pPr>
      <w:r>
        <w:rPr>
          <w:rFonts w:hint="default" w:ascii="Calibri" w:hAnsi="Calibri" w:cs="Calibri"/>
          <w:color w:val="000000"/>
          <w:sz w:val="20"/>
          <w:szCs w:val="20"/>
        </w:rPr>
        <w:t>Antes do pagamento da nota fiscal ou da fatura, deverá ser consultada a situação da empresa junto ao SICAF.</w:t>
      </w:r>
    </w:p>
    <w:p>
      <w:pPr>
        <w:pStyle w:val="39"/>
        <w:numPr>
          <w:ilvl w:val="2"/>
          <w:numId w:val="12"/>
        </w:numPr>
        <w:tabs>
          <w:tab w:val="left" w:pos="1134"/>
        </w:tabs>
        <w:spacing w:after="0" w:line="276" w:lineRule="auto"/>
        <w:ind w:left="1134"/>
        <w:jc w:val="both"/>
        <w:rPr>
          <w:rFonts w:hint="default" w:ascii="Calibri" w:hAnsi="Calibri" w:cs="Calibri"/>
          <w:color w:val="000000"/>
          <w:sz w:val="20"/>
          <w:szCs w:val="20"/>
        </w:rPr>
      </w:pPr>
      <w:r>
        <w:rPr>
          <w:rFonts w:hint="default" w:ascii="Calibri" w:hAnsi="Calibri" w:cs="Calibri"/>
          <w:color w:val="000000"/>
          <w:sz w:val="20"/>
          <w:szCs w:val="20"/>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pPr>
        <w:pStyle w:val="39"/>
        <w:numPr>
          <w:ilvl w:val="2"/>
          <w:numId w:val="12"/>
        </w:numPr>
        <w:tabs>
          <w:tab w:val="left" w:pos="1134"/>
        </w:tabs>
        <w:spacing w:after="0" w:line="276" w:lineRule="auto"/>
        <w:ind w:left="1134"/>
        <w:jc w:val="both"/>
        <w:rPr>
          <w:rFonts w:hint="default" w:ascii="Calibri" w:hAnsi="Calibri" w:cs="Calibri"/>
          <w:color w:val="FF0000"/>
          <w:sz w:val="20"/>
          <w:szCs w:val="20"/>
        </w:rPr>
      </w:pPr>
      <w:r>
        <w:rPr>
          <w:rFonts w:hint="default" w:ascii="Calibri" w:hAnsi="Calibri" w:cs="Calibri"/>
          <w:color w:val="FF0000"/>
          <w:sz w:val="20"/>
          <w:szCs w:val="20"/>
        </w:rPr>
        <w:t>Além do disposto acima, a fiscalização contratual obedecerá às seguintes rotinas:</w:t>
      </w:r>
    </w:p>
    <w:p>
      <w:pPr>
        <w:pStyle w:val="39"/>
        <w:numPr>
          <w:ilvl w:val="3"/>
          <w:numId w:val="12"/>
        </w:numPr>
        <w:tabs>
          <w:tab w:val="left" w:pos="1134"/>
        </w:tabs>
        <w:spacing w:after="0" w:line="276" w:lineRule="auto"/>
        <w:ind w:left="2552"/>
        <w:jc w:val="both"/>
        <w:rPr>
          <w:rFonts w:hint="default" w:ascii="Calibri" w:hAnsi="Calibri" w:cs="Calibri"/>
          <w:color w:val="FF0000"/>
          <w:sz w:val="20"/>
          <w:szCs w:val="20"/>
        </w:rPr>
      </w:pPr>
      <w:r>
        <w:rPr>
          <w:rFonts w:hint="default" w:ascii="Calibri" w:hAnsi="Calibri" w:cs="Calibri"/>
          <w:color w:val="FF0000"/>
          <w:sz w:val="20"/>
          <w:szCs w:val="20"/>
        </w:rPr>
        <w:t>[...]</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zh-CN"/>
        </w:rPr>
      </w:pPr>
      <w:r>
        <w:rPr>
          <w:rFonts w:hint="default" w:ascii="Calibri" w:hAnsi="Calibri" w:eastAsia="Calibri" w:cs="Calibri"/>
          <w:b/>
          <w:bCs/>
          <w:i/>
          <w:iCs/>
          <w:color w:val="000000"/>
          <w:sz w:val="20"/>
          <w:szCs w:val="20"/>
          <w:lang w:eastAsia="zh-CN"/>
        </w:rPr>
        <w:t>Nota Explicativa:</w:t>
      </w:r>
      <w:r>
        <w:rPr>
          <w:rFonts w:hint="default" w:ascii="Calibri" w:hAnsi="Calibri" w:eastAsia="Calibri" w:cs="Calibri"/>
          <w:i/>
          <w:iCs/>
          <w:color w:val="000000"/>
          <w:sz w:val="20"/>
          <w:szCs w:val="20"/>
          <w:lang w:eastAsia="zh-CN"/>
        </w:rPr>
        <w:t xml:space="preserve"> Inserir o subitem acima se for o caso para inclusão de rotinas de fiscalização específicas para atender às peculiaridades do objeto contratado.</w:t>
      </w:r>
    </w:p>
    <w:p>
      <w:pPr>
        <w:pStyle w:val="43"/>
        <w:numPr>
          <w:ilvl w:val="1"/>
          <w:numId w:val="4"/>
        </w:numPr>
        <w:rPr>
          <w:rFonts w:hint="default" w:ascii="Calibri" w:hAnsi="Calibri" w:cs="Calibri"/>
          <w:b w:val="0"/>
          <w:bCs/>
          <w:sz w:val="20"/>
          <w:szCs w:val="20"/>
        </w:rPr>
      </w:pPr>
      <w:r>
        <w:rPr>
          <w:rFonts w:hint="default" w:ascii="Calibri" w:hAnsi="Calibri" w:cs="Calibri"/>
          <w:bCs/>
          <w:sz w:val="20"/>
          <w:szCs w:val="20"/>
        </w:rPr>
        <w:t>DOS CRITÉRIOS DE AFERIÇÃO E MEDIÇÃO PARA FATURAMENTO</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b/>
          <w:bCs/>
          <w:i/>
          <w:iCs/>
          <w:color w:val="000000"/>
          <w:sz w:val="20"/>
          <w:szCs w:val="20"/>
          <w:lang w:eastAsia="zh-CN"/>
        </w:rPr>
      </w:pPr>
      <w:r>
        <w:rPr>
          <w:rFonts w:hint="default" w:ascii="Calibri" w:hAnsi="Calibri" w:eastAsia="Calibri" w:cs="Calibri"/>
          <w:b/>
          <w:bCs/>
          <w:i/>
          <w:iCs/>
          <w:color w:val="000000"/>
          <w:sz w:val="20"/>
          <w:szCs w:val="20"/>
          <w:lang w:eastAsia="zh-CN"/>
        </w:rPr>
        <w:t xml:space="preserve">Nota Explicativa 1: </w:t>
      </w:r>
      <w:r>
        <w:rPr>
          <w:rFonts w:hint="default" w:ascii="Calibri" w:hAnsi="Calibri" w:eastAsia="Calibri" w:cs="Calibri"/>
          <w:bCs/>
          <w:i/>
          <w:iCs/>
          <w:color w:val="000000"/>
          <w:sz w:val="20"/>
          <w:szCs w:val="20"/>
          <w:lang w:eastAsia="zh-CN"/>
        </w:rPr>
        <w:t>Nos contratos de obras e serviços de engenharia, sempre que compatível com o regime de execução, a medição será mensal (art. 92, §5º, da Lei nº 14.133/21);</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pt-BR"/>
        </w:rPr>
      </w:pPr>
      <w:r>
        <w:rPr>
          <w:rFonts w:hint="default" w:ascii="Calibri" w:hAnsi="Calibri" w:eastAsia="Calibri" w:cs="Calibri"/>
          <w:b/>
          <w:bCs/>
          <w:i/>
          <w:iCs/>
          <w:color w:val="000000"/>
          <w:sz w:val="20"/>
          <w:szCs w:val="20"/>
          <w:lang w:eastAsia="zh-CN"/>
        </w:rPr>
        <w:t xml:space="preserve">Nota Explicativa 2: </w:t>
      </w:r>
      <w:r>
        <w:rPr>
          <w:rFonts w:hint="default" w:ascii="Calibri" w:hAnsi="Calibri" w:eastAsia="Calibri" w:cs="Calibri"/>
          <w:i/>
          <w:iCs/>
          <w:color w:val="000000"/>
          <w:sz w:val="20"/>
          <w:szCs w:val="20"/>
          <w:lang w:eastAsia="zh-CN"/>
        </w:rPr>
        <w:t xml:space="preserve">Segundo a IN SEGES/ME nº 75/2021, pode ser utilizada a IN SEGES/MP nº 5/2017 quanto à gestão e fiscalização do contrato no que couber. O art. 39 da IN 5 inclui na gestão contratual a “instrução processual e o encaminhamento da documentação pertinente” para “pagamento”. Com base nesses normativos, entende-se que os critérios de aferição e medição para indicação do valor adequado para o faturamento e posteriormente pagamento inclui-se no escopo da IN 75/2021, pois são medidas inerentes à fiscalização do contrato e à instrução processual para chegar ao valor a ser inserido na nota fiscal e, eventualmente, ser encaminhado para o setor incumbido dos pagamentos. </w:t>
      </w:r>
    </w:p>
    <w:p>
      <w:pPr>
        <w:spacing w:after="0" w:line="276" w:lineRule="auto"/>
        <w:ind w:left="930"/>
        <w:jc w:val="both"/>
        <w:rPr>
          <w:rFonts w:hint="default" w:ascii="Calibri" w:hAnsi="Calibri" w:cs="Calibri"/>
          <w:color w:val="000000"/>
          <w:sz w:val="20"/>
          <w:szCs w:val="20"/>
          <w:lang w:eastAsia="pt-BR"/>
        </w:rPr>
      </w:pPr>
    </w:p>
    <w:p>
      <w:pPr>
        <w:pStyle w:val="39"/>
        <w:numPr>
          <w:ilvl w:val="1"/>
          <w:numId w:val="12"/>
        </w:numPr>
        <w:tabs>
          <w:tab w:val="left" w:pos="1134"/>
        </w:tabs>
        <w:spacing w:after="0" w:line="276" w:lineRule="auto"/>
        <w:jc w:val="both"/>
        <w:rPr>
          <w:rFonts w:hint="default" w:ascii="Calibri" w:hAnsi="Calibri" w:cs="Calibri"/>
          <w:vanish/>
          <w:color w:val="000000"/>
          <w:sz w:val="20"/>
          <w:szCs w:val="20"/>
        </w:rPr>
      </w:pPr>
    </w:p>
    <w:p>
      <w:pPr>
        <w:pStyle w:val="39"/>
        <w:numPr>
          <w:ilvl w:val="1"/>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2"/>
        </w:numPr>
        <w:tabs>
          <w:tab w:val="left" w:pos="1134"/>
        </w:tabs>
        <w:spacing w:after="0" w:line="276" w:lineRule="auto"/>
        <w:jc w:val="both"/>
        <w:rPr>
          <w:rFonts w:hint="default" w:ascii="Calibri" w:hAnsi="Calibri" w:cs="Calibri"/>
          <w:vanish/>
          <w:color w:val="000000"/>
          <w:sz w:val="20"/>
          <w:szCs w:val="20"/>
        </w:rPr>
      </w:pPr>
    </w:p>
    <w:p>
      <w:pPr>
        <w:pStyle w:val="39"/>
        <w:numPr>
          <w:ilvl w:val="2"/>
          <w:numId w:val="13"/>
        </w:numPr>
        <w:tabs>
          <w:tab w:val="left" w:pos="1134"/>
        </w:tabs>
        <w:spacing w:after="0" w:line="276" w:lineRule="auto"/>
        <w:jc w:val="both"/>
        <w:rPr>
          <w:rFonts w:hint="default" w:ascii="Calibri" w:hAnsi="Calibri" w:cs="Calibri"/>
          <w:color w:val="000000"/>
          <w:sz w:val="20"/>
          <w:szCs w:val="20"/>
          <w:lang w:eastAsia="pt-BR"/>
        </w:rPr>
      </w:pPr>
      <w:r>
        <w:rPr>
          <w:rFonts w:hint="default" w:ascii="Calibri" w:hAnsi="Calibri" w:cs="Calibri"/>
          <w:color w:val="000000"/>
          <w:sz w:val="20"/>
          <w:szCs w:val="20"/>
        </w:rPr>
        <w:t xml:space="preserve">A avaliação da execução do objeto utilizará </w:t>
      </w:r>
      <w:r>
        <w:rPr>
          <w:rFonts w:hint="default" w:ascii="Calibri" w:hAnsi="Calibri" w:cs="Calibri"/>
          <w:i/>
          <w:color w:val="FF0000"/>
          <w:sz w:val="20"/>
          <w:szCs w:val="20"/>
        </w:rPr>
        <w:t xml:space="preserve">o Instrumento de Medição de Resultado (IMR), conforme previsto no Anexo XXX, </w:t>
      </w:r>
      <w:r>
        <w:rPr>
          <w:rFonts w:hint="default" w:ascii="Calibri" w:hAnsi="Calibri" w:cs="Calibri"/>
          <w:b/>
          <w:bCs/>
          <w:i/>
          <w:color w:val="FF0000"/>
          <w:sz w:val="20"/>
          <w:szCs w:val="20"/>
          <w:u w:val="single"/>
        </w:rPr>
        <w:t>OU</w:t>
      </w:r>
      <w:r>
        <w:rPr>
          <w:rFonts w:hint="default" w:ascii="Calibri" w:hAnsi="Calibri" w:cs="Calibri"/>
          <w:i/>
          <w:color w:val="FF0000"/>
          <w:sz w:val="20"/>
          <w:szCs w:val="20"/>
        </w:rPr>
        <w:t xml:space="preserve"> outro instrumento substituto para aferição da qualidade da prestação dos serviços </w:t>
      </w:r>
      <w:r>
        <w:rPr>
          <w:rFonts w:hint="default" w:ascii="Calibri" w:hAnsi="Calibri" w:cs="Calibri"/>
          <w:b/>
          <w:bCs/>
          <w:i/>
          <w:color w:val="FF0000"/>
          <w:sz w:val="20"/>
          <w:szCs w:val="20"/>
          <w:u w:val="single"/>
        </w:rPr>
        <w:t xml:space="preserve">OU </w:t>
      </w:r>
      <w:r>
        <w:rPr>
          <w:rFonts w:hint="default" w:ascii="Calibri" w:hAnsi="Calibri" w:cs="Calibri"/>
          <w:i/>
          <w:color w:val="FF0000"/>
          <w:sz w:val="20"/>
          <w:szCs w:val="20"/>
          <w:u w:val="single"/>
        </w:rPr>
        <w:t>o disposto neste item</w:t>
      </w:r>
      <w:r>
        <w:rPr>
          <w:rFonts w:hint="default" w:ascii="Calibri" w:hAnsi="Calibri" w:cs="Calibri"/>
          <w:color w:val="000000"/>
          <w:sz w:val="20"/>
          <w:szCs w:val="20"/>
        </w:rPr>
        <w:t>, devendo haver o redimensionamento no pagamento com base nos indicadores estabelecidos, sempre que a CONTRATADA:</w:t>
      </w:r>
    </w:p>
    <w:p>
      <w:pPr>
        <w:spacing w:before="120" w:after="120" w:line="276" w:lineRule="auto"/>
        <w:ind w:left="1416"/>
        <w:jc w:val="both"/>
        <w:rPr>
          <w:rFonts w:hint="default" w:ascii="Calibri" w:hAnsi="Calibri" w:eastAsia="Calibri" w:cs="Calibri"/>
          <w:sz w:val="20"/>
          <w:szCs w:val="20"/>
        </w:rPr>
      </w:pPr>
      <w:r>
        <w:rPr>
          <w:rFonts w:hint="default" w:ascii="Calibri" w:hAnsi="Calibri" w:eastAsia="Calibri" w:cs="Calibri"/>
          <w:sz w:val="20"/>
          <w:szCs w:val="20"/>
        </w:rPr>
        <w:t>a) não produzir os resultados, deixar de executar, ou não executar com a qualidade mínima exigida as atividades contratadas; ou</w:t>
      </w:r>
    </w:p>
    <w:p>
      <w:pPr>
        <w:spacing w:before="120" w:after="120" w:line="276" w:lineRule="auto"/>
        <w:ind w:left="1416"/>
        <w:jc w:val="both"/>
        <w:rPr>
          <w:rFonts w:hint="default" w:ascii="Calibri" w:hAnsi="Calibri" w:eastAsia="Calibri" w:cs="Calibri"/>
          <w:sz w:val="20"/>
          <w:szCs w:val="20"/>
        </w:rPr>
      </w:pPr>
      <w:r>
        <w:rPr>
          <w:rFonts w:hint="default" w:ascii="Calibri" w:hAnsi="Calibri" w:eastAsia="Calibri" w:cs="Calibri"/>
          <w:sz w:val="20"/>
          <w:szCs w:val="20"/>
        </w:rPr>
        <w:t>b) deixar de utilizar materiais e recursos humanos exigidos para a execução do serviço, ou utilizá-los com qualidade ou quantidade inferior à demandada.</w:t>
      </w:r>
    </w:p>
    <w:p>
      <w:pPr>
        <w:pStyle w:val="39"/>
        <w:numPr>
          <w:ilvl w:val="2"/>
          <w:numId w:val="13"/>
        </w:numPr>
        <w:tabs>
          <w:tab w:val="left" w:pos="1134"/>
        </w:tabs>
        <w:spacing w:after="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A utilização do IMR não impede a aplicação concomitante de outros mecanismos para a avaliação da prestação dos serviços.</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sz w:val="20"/>
          <w:szCs w:val="20"/>
          <w:lang w:eastAsia="zh-CN"/>
        </w:rPr>
      </w:pPr>
      <w:r>
        <w:rPr>
          <w:rFonts w:hint="default" w:ascii="Calibri" w:hAnsi="Calibri" w:eastAsia="Calibri" w:cs="Calibri"/>
          <w:b/>
          <w:bCs/>
          <w:i/>
          <w:color w:val="000000"/>
          <w:sz w:val="20"/>
          <w:szCs w:val="20"/>
          <w:lang w:eastAsia="zh-CN"/>
        </w:rPr>
        <w:t>Nota Explicativa 1</w:t>
      </w:r>
      <w:r>
        <w:rPr>
          <w:rFonts w:hint="default" w:ascii="Calibri" w:hAnsi="Calibri" w:eastAsia="Calibri" w:cs="Calibri"/>
          <w:i/>
          <w:color w:val="000000"/>
          <w:sz w:val="20"/>
          <w:szCs w:val="20"/>
          <w:lang w:eastAsia="zh-CN"/>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color w:val="000000"/>
          <w:sz w:val="20"/>
          <w:szCs w:val="20"/>
          <w:lang w:eastAsia="zh-CN"/>
        </w:rPr>
      </w:pPr>
      <w:r>
        <w:rPr>
          <w:rFonts w:hint="default" w:ascii="Calibri" w:hAnsi="Calibri" w:eastAsia="Calibri" w:cs="Calibri"/>
          <w:b/>
          <w:i/>
          <w:color w:val="000000"/>
          <w:sz w:val="20"/>
          <w:szCs w:val="20"/>
          <w:lang w:eastAsia="zh-CN"/>
        </w:rPr>
        <w:t>Nota Explicativa 2:</w:t>
      </w:r>
      <w:r>
        <w:rPr>
          <w:rFonts w:hint="default" w:ascii="Calibri" w:hAnsi="Calibri" w:eastAsia="Calibri" w:cs="Calibri"/>
          <w:i/>
          <w:color w:val="000000"/>
          <w:sz w:val="20"/>
          <w:szCs w:val="20"/>
          <w:lang w:eastAsia="zh-CN"/>
        </w:rPr>
        <w:t xml:space="preserve"> Caso o órgão não tenha elaborado o IMR, deverá suprimir os trechos em itálico que fazem referência a ele.</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color w:val="000000"/>
          <w:sz w:val="20"/>
          <w:szCs w:val="20"/>
          <w:lang w:eastAsia="zh-CN"/>
        </w:rPr>
      </w:pPr>
      <w:r>
        <w:rPr>
          <w:rFonts w:hint="default" w:ascii="Calibri" w:hAnsi="Calibri" w:eastAsia="Calibri" w:cs="Calibri"/>
          <w:b/>
          <w:bCs/>
          <w:i/>
          <w:color w:val="000000"/>
          <w:sz w:val="20"/>
          <w:szCs w:val="20"/>
          <w:lang w:eastAsia="zh-CN"/>
        </w:rPr>
        <w:t xml:space="preserve">Nota Explicativa 3: </w:t>
      </w:r>
      <w:r>
        <w:rPr>
          <w:rFonts w:hint="default" w:ascii="Calibri" w:hAnsi="Calibri" w:eastAsia="Calibri" w:cs="Calibri"/>
          <w:i/>
          <w:color w:val="000000"/>
          <w:sz w:val="20"/>
          <w:szCs w:val="20"/>
          <w:lang w:eastAsia="zh-CN"/>
        </w:rPr>
        <w:t>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p>
      <w:pPr>
        <w:pStyle w:val="39"/>
        <w:numPr>
          <w:ilvl w:val="2"/>
          <w:numId w:val="13"/>
        </w:numPr>
        <w:tabs>
          <w:tab w:val="left" w:pos="1134"/>
        </w:tabs>
        <w:spacing w:after="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A aferição da execução contratual para fins de pagamento considerará os seguintes critérios:</w:t>
      </w:r>
    </w:p>
    <w:p>
      <w:pPr>
        <w:pStyle w:val="39"/>
        <w:numPr>
          <w:ilvl w:val="3"/>
          <w:numId w:val="13"/>
        </w:numPr>
        <w:tabs>
          <w:tab w:val="left" w:pos="1134"/>
        </w:tabs>
        <w:spacing w:after="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w:t>
      </w:r>
    </w:p>
    <w:p>
      <w:pPr>
        <w:pStyle w:val="39"/>
        <w:numPr>
          <w:ilvl w:val="3"/>
          <w:numId w:val="13"/>
        </w:numPr>
        <w:tabs>
          <w:tab w:val="left" w:pos="1134"/>
        </w:tabs>
        <w:spacing w:after="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w:t>
      </w:r>
    </w:p>
    <w:p>
      <w:pPr>
        <w:pStyle w:val="39"/>
        <w:numPr>
          <w:ilvl w:val="3"/>
          <w:numId w:val="13"/>
        </w:numPr>
        <w:tabs>
          <w:tab w:val="left" w:pos="1134"/>
        </w:tabs>
        <w:spacing w:after="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 xml:space="preserve">.... </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b/>
          <w:bCs/>
          <w:i/>
          <w:iCs/>
          <w:color w:val="000000"/>
          <w:sz w:val="20"/>
          <w:szCs w:val="20"/>
        </w:rPr>
        <w:t>Nota Explicativa:</w:t>
      </w:r>
      <w:r>
        <w:rPr>
          <w:rFonts w:hint="default" w:ascii="Calibri" w:hAnsi="Calibri" w:eastAsia="Calibri" w:cs="Calibri"/>
          <w:i/>
          <w:iCs/>
          <w:color w:val="000000"/>
          <w:sz w:val="20"/>
          <w:szCs w:val="20"/>
        </w:rPr>
        <w:t xml:space="preserve"> O subitem 2.6, alínea “d” do Anexo V da Instrução Normativa nº 5/2017 trata de critérios de medição e pagamento a serem considerados na formulação desse item, de modo que se recomenda a leitura do referido normativo. </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 xml:space="preserve">Questões a serem vistas são: </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a) unidade de medida para faturamento e mensuração do resultado;</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b) produtividade de referência ou critérios de qualidade para a execução contratual;</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c) indicadores mínimos de desempenho para aceitação do serviço ou eventual glosa.</w:t>
      </w:r>
    </w:p>
    <w:p>
      <w:pPr>
        <w:pStyle w:val="39"/>
        <w:numPr>
          <w:ilvl w:val="2"/>
          <w:numId w:val="13"/>
        </w:numPr>
        <w:tabs>
          <w:tab w:val="left" w:pos="1134"/>
        </w:tabs>
        <w:spacing w:after="0" w:line="276" w:lineRule="auto"/>
        <w:jc w:val="both"/>
        <w:rPr>
          <w:rFonts w:hint="default" w:ascii="Calibri" w:hAnsi="Calibri" w:eastAsia="Calibri" w:cs="Calibri"/>
          <w:color w:val="000000"/>
          <w:sz w:val="20"/>
          <w:szCs w:val="20"/>
          <w:lang w:eastAsia="pt-BR"/>
        </w:rPr>
      </w:pPr>
      <w:r>
        <w:rPr>
          <w:rFonts w:hint="default" w:ascii="Calibri" w:hAnsi="Calibri" w:eastAsia="Calibri" w:cs="Calibri"/>
          <w:color w:val="000000"/>
          <w:sz w:val="20"/>
          <w:szCs w:val="20"/>
        </w:rPr>
        <w:t>Nos termos do item 1, do Anexo VIII-A da Instrução Normativa SEGES/MP nº 05, de 2017, será indicada a retenção ou glosa no pagamento, proporcional à irregularidade verificada, sem prejuízo das sanções cabíveis, caso se constate que a Contratada:</w:t>
      </w:r>
    </w:p>
    <w:p>
      <w:pPr>
        <w:pStyle w:val="39"/>
        <w:numPr>
          <w:ilvl w:val="3"/>
          <w:numId w:val="13"/>
        </w:numPr>
        <w:tabs>
          <w:tab w:val="left" w:pos="1134"/>
        </w:tabs>
        <w:spacing w:after="0" w:line="276" w:lineRule="auto"/>
        <w:jc w:val="both"/>
        <w:rPr>
          <w:rFonts w:hint="default" w:ascii="Calibri" w:hAnsi="Calibri" w:eastAsia="Calibri" w:cs="Calibri"/>
          <w:color w:val="000000"/>
          <w:sz w:val="20"/>
          <w:szCs w:val="20"/>
        </w:rPr>
      </w:pPr>
      <w:r>
        <w:rPr>
          <w:rFonts w:hint="default" w:ascii="Calibri" w:hAnsi="Calibri" w:eastAsia="Calibri" w:cs="Calibri"/>
          <w:color w:val="000000"/>
          <w:sz w:val="20"/>
          <w:szCs w:val="20"/>
        </w:rPr>
        <w:t>não produziu os resultados acordados;</w:t>
      </w:r>
    </w:p>
    <w:p>
      <w:pPr>
        <w:pStyle w:val="39"/>
        <w:numPr>
          <w:ilvl w:val="3"/>
          <w:numId w:val="13"/>
        </w:numPr>
        <w:tabs>
          <w:tab w:val="left" w:pos="1134"/>
        </w:tabs>
        <w:spacing w:after="0" w:line="276" w:lineRule="auto"/>
        <w:jc w:val="both"/>
        <w:rPr>
          <w:rFonts w:hint="default" w:ascii="Calibri" w:hAnsi="Calibri" w:eastAsia="Calibri" w:cs="Calibri"/>
          <w:color w:val="000000"/>
          <w:sz w:val="20"/>
          <w:szCs w:val="20"/>
        </w:rPr>
      </w:pPr>
      <w:r>
        <w:rPr>
          <w:rFonts w:hint="default" w:ascii="Calibri" w:hAnsi="Calibri" w:eastAsia="Calibri" w:cs="Calibri"/>
          <w:color w:val="000000"/>
          <w:sz w:val="20"/>
          <w:szCs w:val="20"/>
        </w:rPr>
        <w:t>deixou de executar as atividades contratadas, ou não as executou com a qualidade mínima exigida;</w:t>
      </w:r>
    </w:p>
    <w:p>
      <w:pPr>
        <w:pStyle w:val="39"/>
        <w:numPr>
          <w:ilvl w:val="3"/>
          <w:numId w:val="13"/>
        </w:numPr>
        <w:tabs>
          <w:tab w:val="left" w:pos="1134"/>
        </w:tabs>
        <w:spacing w:after="0" w:line="276" w:lineRule="auto"/>
        <w:jc w:val="both"/>
        <w:rPr>
          <w:rFonts w:hint="default" w:ascii="Calibri" w:hAnsi="Calibri" w:eastAsia="Calibri" w:cs="Calibri"/>
          <w:color w:val="000000"/>
          <w:sz w:val="20"/>
          <w:szCs w:val="20"/>
        </w:rPr>
      </w:pPr>
      <w:r>
        <w:rPr>
          <w:rFonts w:hint="default" w:ascii="Calibri" w:hAnsi="Calibri" w:eastAsia="Calibri" w:cs="Calibri"/>
          <w:color w:val="000000"/>
          <w:sz w:val="20"/>
          <w:szCs w:val="20"/>
        </w:rPr>
        <w:t>deixou de utilizar os materiais e recursos humanos exigidos para a execução do serviço, ou utilizou-os com qualidade ou quantidade inferior à demandada.</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b/>
          <w:bCs/>
          <w:i/>
          <w:iCs/>
          <w:color w:val="000000"/>
          <w:sz w:val="20"/>
          <w:szCs w:val="20"/>
        </w:rPr>
        <w:t>Nota Explicativa</w:t>
      </w:r>
      <w:r>
        <w:rPr>
          <w:rFonts w:hint="default" w:ascii="Calibri" w:hAnsi="Calibri" w:eastAsia="Calibri" w:cs="Calibri"/>
          <w:i/>
          <w:iCs/>
          <w:color w:val="000000"/>
          <w:sz w:val="20"/>
          <w:szCs w:val="20"/>
        </w:rPr>
        <w:t>: Para que seja possível efetuar a glosa, é necessário definir, objetivamente, no IMR ou instrumento equivalente, quais os parâmetros para mensuração do percentual do pagamento devido em razão dos níveis esperados de qualidade da prestação do serviço.</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b/>
          <w:i/>
          <w:iCs/>
          <w:color w:val="000000"/>
          <w:sz w:val="20"/>
          <w:szCs w:val="20"/>
        </w:rPr>
        <w:t xml:space="preserve">Nota Explicativa 2: </w:t>
      </w:r>
      <w:r>
        <w:rPr>
          <w:rFonts w:hint="default" w:ascii="Calibri" w:hAnsi="Calibri" w:eastAsia="Calibri" w:cs="Calibri"/>
          <w:i/>
          <w:iCs/>
          <w:color w:val="000000"/>
          <w:sz w:val="20"/>
          <w:szCs w:val="20"/>
        </w:rPr>
        <w:t>Caso haja previsão de pagamento antecipado no contrato, será necessário adaptar a presente seção, pois, em vez de haver glosa, será necessário que a Contratado devolva o pagamento antecipado proporcional à parcela não executada, conforme previsão contratual.</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Arial" w:cs="Calibri"/>
          <w:b/>
          <w:bCs/>
          <w:i/>
          <w:iCs/>
          <w:color w:val="000000" w:themeColor="text1"/>
          <w:sz w:val="20"/>
          <w:szCs w:val="20"/>
          <w14:textFill>
            <w14:solidFill>
              <w14:schemeClr w14:val="tx1"/>
            </w14:solidFill>
          </w14:textFill>
        </w:rPr>
        <w:t>Nota Explicativa</w:t>
      </w:r>
      <w:r>
        <w:rPr>
          <w:rFonts w:hint="default" w:ascii="Calibri" w:hAnsi="Calibri" w:eastAsia="Arial" w:cs="Calibri"/>
          <w:i/>
          <w:iCs/>
          <w:color w:val="000000" w:themeColor="text1"/>
          <w:sz w:val="20"/>
          <w:szCs w:val="20"/>
          <w14:textFill>
            <w14:solidFill>
              <w14:schemeClr w14:val="tx1"/>
            </w14:solidFill>
          </w14:textFill>
        </w:rPr>
        <w:t xml:space="preserve">: Se o serviço envolver fornecimento de bens, incluir aqui as cláusulas pertinentes do modelo de compras, lembrando que, para compras, deve haver recebimento provisório, de forma sumária, pelo responsável por seu acompanhamento e fiscalização, com </w:t>
      </w:r>
      <w:r>
        <w:rPr>
          <w:rFonts w:hint="default" w:ascii="Calibri" w:hAnsi="Calibri" w:eastAsia="Calibri" w:cs="Calibri"/>
          <w:i/>
          <w:iCs/>
          <w:sz w:val="20"/>
          <w:szCs w:val="20"/>
        </w:rPr>
        <w:t>verificação</w:t>
      </w:r>
      <w:r>
        <w:rPr>
          <w:rFonts w:hint="default" w:ascii="Calibri" w:hAnsi="Calibri" w:eastAsia="Arial" w:cs="Calibri"/>
          <w:i/>
          <w:iCs/>
          <w:color w:val="000000" w:themeColor="text1"/>
          <w:sz w:val="20"/>
          <w:szCs w:val="20"/>
          <w14:textFill>
            <w14:solidFill>
              <w14:schemeClr w14:val="tx1"/>
            </w14:solidFill>
          </w14:textFill>
        </w:rPr>
        <w:t xml:space="preserve"> posterior da conformidade do material com as exigências contratuais; e recebimento definitivo, por servidor ou comissão designada pela autoridade competente, mediante termo detalhado que comprove o atendimento das exigências contratuais, conforme art. 140, II, da Lei nº 14.133/2021.</w:t>
      </w:r>
    </w:p>
    <w:p>
      <w:pPr>
        <w:pStyle w:val="43"/>
        <w:numPr>
          <w:ilvl w:val="1"/>
          <w:numId w:val="4"/>
        </w:numPr>
        <w:rPr>
          <w:rFonts w:hint="default" w:ascii="Calibri" w:hAnsi="Calibri" w:cs="Calibri"/>
          <w:b w:val="0"/>
          <w:bCs/>
          <w:sz w:val="20"/>
          <w:szCs w:val="20"/>
        </w:rPr>
      </w:pPr>
      <w:r>
        <w:rPr>
          <w:rFonts w:hint="default" w:ascii="Calibri" w:hAnsi="Calibri" w:cs="Calibri"/>
          <w:bCs/>
          <w:sz w:val="20"/>
          <w:szCs w:val="20"/>
        </w:rPr>
        <w:t>DO RECEBIMENTO</w:t>
      </w:r>
    </w:p>
    <w:p>
      <w:pPr>
        <w:pStyle w:val="45"/>
        <w:spacing w:before="0" w:after="0"/>
        <w:rPr>
          <w:rFonts w:hint="default" w:ascii="Calibri" w:hAnsi="Calibri" w:cs="Calibri"/>
          <w:bCs/>
          <w:color w:val="auto"/>
          <w:sz w:val="20"/>
          <w:szCs w:val="20"/>
        </w:rPr>
      </w:pPr>
    </w:p>
    <w:p>
      <w:pPr>
        <w:pStyle w:val="42"/>
        <w:spacing w:before="0"/>
        <w:rPr>
          <w:rFonts w:hint="default" w:ascii="Calibri" w:hAnsi="Calibri" w:cs="Calibri"/>
          <w:szCs w:val="20"/>
        </w:rPr>
      </w:pPr>
      <w:r>
        <w:rPr>
          <w:rFonts w:hint="default" w:ascii="Calibri" w:hAnsi="Calibri" w:cs="Calibri"/>
          <w:b/>
          <w:bCs/>
          <w:szCs w:val="20"/>
        </w:rPr>
        <w:t xml:space="preserve">Nota Explicativa 1: </w:t>
      </w:r>
      <w:r>
        <w:rPr>
          <w:rFonts w:hint="default" w:ascii="Calibri" w:hAnsi="Calibri" w:cs="Calibri"/>
          <w:szCs w:val="20"/>
        </w:rPr>
        <w:t>Ao contrário da Lei nº 8.666/93, a Lei nº 14.133/21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pPr>
        <w:pStyle w:val="42"/>
        <w:spacing w:before="0"/>
        <w:rPr>
          <w:rFonts w:hint="default" w:ascii="Calibri" w:hAnsi="Calibri" w:cs="Calibri"/>
          <w:szCs w:val="20"/>
        </w:rPr>
      </w:pPr>
    </w:p>
    <w:p>
      <w:pPr>
        <w:pStyle w:val="42"/>
        <w:spacing w:before="0"/>
        <w:rPr>
          <w:rFonts w:hint="default" w:ascii="Calibri" w:hAnsi="Calibri" w:cs="Calibri"/>
          <w:szCs w:val="20"/>
        </w:rPr>
      </w:pPr>
      <w:r>
        <w:rPr>
          <w:rFonts w:hint="default" w:ascii="Calibri" w:hAnsi="Calibri" w:cs="Calibri"/>
          <w:b/>
          <w:bCs/>
          <w:szCs w:val="20"/>
        </w:rPr>
        <w:t xml:space="preserve">Nota Explicativa 2: </w:t>
      </w:r>
      <w:r>
        <w:rPr>
          <w:rFonts w:hint="default" w:ascii="Calibri" w:hAnsi="Calibri" w:cs="Calibri"/>
          <w:szCs w:val="20"/>
        </w:rPr>
        <w:t>Recomenda-se incluir um evento que sirva de termo inicial para os trâmites de recebimento, faturamento e pagamento. Ele dependerá da natureza do contrato (se continuado ou por escopo) e da existência ou não de parcelas. Pode ser a mera finalização de um mês, a emissão de um relatório de ordens de serviço cumpridas no mês, a entrega de uma parcela específica etc. Com a ocorrência desse evento, inicia a contagem do prazo do recebimento provisório. Se houver a necessidade de o contratado apresentar documentação para esse fim, é necessário que isso fique especificado. Neste momento não há que se falar em apresentação da Nota Fiscal, a luz do que dispõe o art. 50, II, “c” da IN 5/2017, aplicável em razão da IN 75/2021.</w:t>
      </w:r>
    </w:p>
    <w:p>
      <w:pPr>
        <w:pStyle w:val="45"/>
        <w:spacing w:before="0" w:after="0"/>
        <w:ind w:left="284"/>
        <w:rPr>
          <w:rFonts w:hint="default" w:ascii="Calibri" w:hAnsi="Calibri" w:cs="Calibri"/>
          <w:bCs/>
          <w:color w:val="auto"/>
          <w:sz w:val="20"/>
          <w:szCs w:val="20"/>
        </w:rPr>
      </w:pPr>
    </w:p>
    <w:p>
      <w:pPr>
        <w:pStyle w:val="45"/>
        <w:numPr>
          <w:ilvl w:val="2"/>
          <w:numId w:val="14"/>
        </w:numPr>
        <w:spacing w:before="0" w:after="0"/>
        <w:rPr>
          <w:rFonts w:hint="default" w:ascii="Calibri" w:hAnsi="Calibri" w:cs="Calibri"/>
          <w:bCs/>
          <w:color w:val="auto"/>
          <w:sz w:val="20"/>
          <w:szCs w:val="20"/>
        </w:rPr>
      </w:pPr>
      <w:r>
        <w:rPr>
          <w:rFonts w:hint="default" w:ascii="Calibri" w:hAnsi="Calibri" w:eastAsia="Arial" w:cs="Calibri"/>
          <w:color w:val="FF0000"/>
          <w:sz w:val="20"/>
          <w:szCs w:val="20"/>
          <w:highlight w:val="yellow"/>
        </w:rPr>
        <w:t xml:space="preserve">Ao final de cada etapa da execução contratual, conforme previsto no Cronograma Físico-Financeiro, </w:t>
      </w:r>
      <w:r>
        <w:rPr>
          <w:rFonts w:hint="default" w:ascii="Calibri" w:hAnsi="Calibri" w:eastAsia="Arial" w:cs="Calibri"/>
          <w:color w:val="D13438"/>
          <w:sz w:val="20"/>
          <w:szCs w:val="20"/>
          <w:highlight w:val="yellow"/>
          <w:u w:val="single"/>
        </w:rPr>
        <w:t>o</w:t>
      </w:r>
      <w:r>
        <w:rPr>
          <w:rFonts w:hint="default" w:ascii="Calibri" w:hAnsi="Calibri" w:eastAsia="Arial" w:cs="Calibri"/>
          <w:color w:val="FF0000"/>
          <w:sz w:val="20"/>
          <w:szCs w:val="20"/>
          <w:highlight w:val="yellow"/>
        </w:rPr>
        <w:t xml:space="preserve"> Contratad</w:t>
      </w:r>
      <w:r>
        <w:rPr>
          <w:rFonts w:hint="default" w:ascii="Calibri" w:hAnsi="Calibri" w:eastAsia="Arial" w:cs="Calibri"/>
          <w:color w:val="D13438"/>
          <w:sz w:val="20"/>
          <w:szCs w:val="20"/>
          <w:highlight w:val="yellow"/>
          <w:u w:val="single"/>
        </w:rPr>
        <w:t>o</w:t>
      </w:r>
      <w:r>
        <w:rPr>
          <w:rFonts w:hint="default" w:ascii="Calibri" w:hAnsi="Calibri" w:eastAsia="Arial" w:cs="Calibri"/>
          <w:color w:val="FF0000"/>
          <w:sz w:val="20"/>
          <w:szCs w:val="20"/>
          <w:highlight w:val="yellow"/>
        </w:rPr>
        <w:t xml:space="preserve"> apresentará a medição prévia dos serviços executados no período, por meio de planilha e memória de cálculo detalhada</w:t>
      </w:r>
      <w:r>
        <w:rPr>
          <w:rFonts w:hint="default" w:ascii="Calibri" w:hAnsi="Calibri" w:cs="Calibri"/>
          <w:bCs/>
          <w:color w:val="auto"/>
          <w:sz w:val="20"/>
          <w:szCs w:val="20"/>
        </w:rPr>
        <w:t>.</w:t>
      </w:r>
    </w:p>
    <w:p>
      <w:pPr>
        <w:pStyle w:val="45"/>
        <w:numPr>
          <w:ilvl w:val="2"/>
          <w:numId w:val="14"/>
        </w:numPr>
        <w:spacing w:before="0" w:after="0"/>
        <w:rPr>
          <w:rFonts w:hint="default" w:ascii="Calibri" w:hAnsi="Calibri" w:cs="Calibri"/>
          <w:bCs/>
          <w:color w:val="auto"/>
          <w:sz w:val="20"/>
          <w:szCs w:val="20"/>
        </w:rPr>
      </w:pPr>
      <w:r>
        <w:rPr>
          <w:rFonts w:hint="default" w:ascii="Calibri" w:hAnsi="Calibri" w:eastAsia="Arial" w:cs="Calibri"/>
          <w:color w:val="FF0000"/>
          <w:sz w:val="20"/>
          <w:szCs w:val="20"/>
          <w:highlight w:val="yellow"/>
        </w:rPr>
        <w:t>Uma etapa será considerada efetivamente concluída quando os serviços previstos para aquela etapa, no Cronograma Físico-Financeiro, estiverem executados em sua totalidade</w:t>
      </w:r>
      <w:r>
        <w:rPr>
          <w:rFonts w:hint="default" w:ascii="Calibri" w:hAnsi="Calibri" w:eastAsia="Arial" w:cs="Calibri"/>
          <w:color w:val="FF0000"/>
          <w:sz w:val="20"/>
          <w:szCs w:val="20"/>
        </w:rPr>
        <w:t>.</w:t>
      </w:r>
    </w:p>
    <w:p>
      <w:pPr>
        <w:pStyle w:val="45"/>
        <w:numPr>
          <w:ilvl w:val="2"/>
          <w:numId w:val="14"/>
        </w:numPr>
        <w:spacing w:before="0" w:after="0"/>
        <w:rPr>
          <w:rFonts w:hint="default" w:ascii="Calibri" w:hAnsi="Calibri" w:cs="Calibri"/>
          <w:bCs/>
          <w:color w:val="auto"/>
          <w:sz w:val="20"/>
          <w:szCs w:val="20"/>
        </w:rPr>
      </w:pPr>
      <w:r>
        <w:rPr>
          <w:rFonts w:hint="default" w:ascii="Calibri" w:hAnsi="Calibri" w:eastAsia="Arial" w:cs="Calibri"/>
          <w:color w:val="FF0000"/>
          <w:sz w:val="20"/>
          <w:szCs w:val="20"/>
          <w:highlight w:val="cyan"/>
        </w:rPr>
        <w:t xml:space="preserve">O contratado </w:t>
      </w:r>
      <w:r>
        <w:rPr>
          <w:rFonts w:hint="default" w:ascii="Calibri" w:hAnsi="Calibri" w:eastAsia="Arial" w:cs="Calibri"/>
          <w:color w:val="FF0000"/>
          <w:sz w:val="20"/>
          <w:szCs w:val="20"/>
          <w:highlight w:val="yellow"/>
        </w:rPr>
        <w:t>também apresentará, a cada medição, os documentos comprobatórios da procedência legal dos produtos e subprodutos florestais utilizados naquela etapa da execução contratual, quando for o caso</w:t>
      </w:r>
      <w:r>
        <w:rPr>
          <w:rFonts w:hint="default" w:ascii="Calibri" w:hAnsi="Calibri" w:eastAsia="Arial" w:cs="Calibri"/>
          <w:color w:val="FF0000"/>
          <w:sz w:val="20"/>
          <w:szCs w:val="20"/>
        </w:rPr>
        <w:t>.</w:t>
      </w:r>
    </w:p>
    <w:p>
      <w:pPr>
        <w:tabs>
          <w:tab w:val="left" w:pos="1134"/>
        </w:tabs>
        <w:spacing w:line="276" w:lineRule="auto"/>
        <w:contextualSpacing/>
        <w:jc w:val="both"/>
        <w:rPr>
          <w:rFonts w:hint="default" w:ascii="Calibri" w:hAnsi="Calibri" w:eastAsia="Arial" w:cs="Calibri"/>
          <w:color w:val="FF0000"/>
          <w:sz w:val="20"/>
          <w:szCs w:val="20"/>
        </w:rPr>
      </w:pPr>
    </w:p>
    <w:p>
      <w:pPr>
        <w:keepNext/>
        <w:pBdr>
          <w:top w:val="single" w:color="1F497D" w:sz="4" w:space="0"/>
          <w:left w:val="single" w:color="1F497D" w:sz="4" w:space="0"/>
          <w:bottom w:val="single" w:color="1F497D" w:sz="4" w:space="0"/>
          <w:right w:val="single" w:color="1F497D" w:sz="4" w:space="0"/>
        </w:pBdr>
        <w:shd w:val="clear" w:color="auto" w:fill="FFFFCC"/>
        <w:tabs>
          <w:tab w:val="left" w:pos="708"/>
        </w:tabs>
        <w:suppressAutoHyphens/>
        <w:overflowPunct w:val="0"/>
        <w:spacing w:before="120" w:after="0" w:line="240" w:lineRule="auto"/>
        <w:ind w:left="491"/>
        <w:jc w:val="both"/>
        <w:rPr>
          <w:rFonts w:hint="default" w:ascii="Calibri" w:hAnsi="Calibri" w:eastAsia="Arial" w:cs="Calibri"/>
          <w:i/>
          <w:iCs/>
          <w:color w:val="000000" w:themeColor="text1"/>
          <w:sz w:val="20"/>
          <w:szCs w:val="20"/>
          <w14:textFill>
            <w14:solidFill>
              <w14:schemeClr w14:val="tx1"/>
            </w14:solidFill>
          </w14:textFill>
        </w:rPr>
      </w:pPr>
      <w:r>
        <w:rPr>
          <w:rFonts w:hint="default" w:ascii="Calibri" w:hAnsi="Calibri" w:eastAsia="Arial" w:cs="Calibri"/>
          <w:b/>
          <w:bCs/>
          <w:i/>
          <w:iCs/>
          <w:color w:val="000000" w:themeColor="text1"/>
          <w:sz w:val="20"/>
          <w:szCs w:val="20"/>
          <w:highlight w:val="yellow"/>
          <w14:textFill>
            <w14:solidFill>
              <w14:schemeClr w14:val="tx1"/>
            </w14:solidFill>
          </w14:textFill>
        </w:rPr>
        <w:t>Nota explicativa:</w:t>
      </w:r>
      <w:r>
        <w:rPr>
          <w:rFonts w:hint="default" w:ascii="Calibri" w:hAnsi="Calibri" w:eastAsia="Arial" w:cs="Calibri"/>
          <w:i/>
          <w:iCs/>
          <w:color w:val="000000" w:themeColor="text1"/>
          <w:sz w:val="20"/>
          <w:szCs w:val="20"/>
          <w:highlight w:val="yellow"/>
          <w14:textFill>
            <w14:solidFill>
              <w14:schemeClr w14:val="tx1"/>
            </w14:solidFill>
          </w14:textFill>
        </w:rPr>
        <w:t xml:space="preserve"> O art. 40 da Instrução Normativa SEGES/MP nº 5/2017 estabelece os tipos de fiscalização possíveis de serem utilizadas nas contratações públicas. Cabe à área demandante estabelecer, de acordo com as características e a complexidade do objeto a ser contratado, quais tipos de fiscais e quais procedimentos de fiscalização e gestão contratual serão utilizados em cada caso.</w:t>
      </w:r>
    </w:p>
    <w:p>
      <w:pPr>
        <w:pStyle w:val="45"/>
        <w:spacing w:before="0" w:after="0"/>
        <w:rPr>
          <w:rFonts w:hint="default" w:ascii="Calibri" w:hAnsi="Calibri" w:eastAsia="Arial" w:cs="Calibri"/>
          <w:color w:val="FF0000"/>
          <w:sz w:val="20"/>
          <w:szCs w:val="20"/>
        </w:rPr>
      </w:pPr>
    </w:p>
    <w:p>
      <w:pPr>
        <w:pStyle w:val="45"/>
        <w:numPr>
          <w:ilvl w:val="2"/>
          <w:numId w:val="14"/>
        </w:numPr>
        <w:spacing w:before="0" w:after="0"/>
        <w:rPr>
          <w:rFonts w:hint="default" w:ascii="Calibri" w:hAnsi="Calibri" w:cs="Calibri"/>
          <w:bCs/>
          <w:color w:val="auto"/>
          <w:sz w:val="20"/>
          <w:szCs w:val="20"/>
        </w:rPr>
      </w:pPr>
      <w:r>
        <w:rPr>
          <w:rFonts w:hint="default" w:ascii="Calibri" w:hAnsi="Calibri" w:cs="Calibri"/>
          <w:bCs/>
          <w:color w:val="auto"/>
          <w:sz w:val="20"/>
          <w:szCs w:val="20"/>
        </w:rPr>
        <w:t xml:space="preserve">Os serviços serão recebidos provisoriamente, </w:t>
      </w:r>
      <w:r>
        <w:rPr>
          <w:rFonts w:hint="default" w:ascii="Calibri" w:hAnsi="Calibri" w:cs="Calibri"/>
          <w:sz w:val="20"/>
          <w:szCs w:val="20"/>
        </w:rPr>
        <w:t>mediante termo detalhado</w:t>
      </w:r>
      <w:r>
        <w:rPr>
          <w:rFonts w:hint="default" w:ascii="Calibri" w:hAnsi="Calibri" w:cs="Calibri"/>
          <w:bCs/>
          <w:color w:val="auto"/>
          <w:sz w:val="20"/>
          <w:szCs w:val="20"/>
        </w:rPr>
        <w:t xml:space="preserve">, no prazo de </w:t>
      </w:r>
      <w:r>
        <w:rPr>
          <w:rFonts w:hint="default" w:ascii="Calibri" w:hAnsi="Calibri" w:cs="Calibri"/>
          <w:bCs/>
          <w:color w:val="FF0000"/>
          <w:sz w:val="20"/>
          <w:szCs w:val="20"/>
        </w:rPr>
        <w:t xml:space="preserve">.....(.....) </w:t>
      </w:r>
      <w:r>
        <w:rPr>
          <w:rFonts w:hint="default" w:ascii="Calibri" w:hAnsi="Calibri" w:cs="Calibri"/>
          <w:bCs/>
          <w:color w:val="auto"/>
          <w:sz w:val="20"/>
          <w:szCs w:val="20"/>
        </w:rPr>
        <w:t xml:space="preserve">dias, contado do </w:t>
      </w:r>
      <w:r>
        <w:rPr>
          <w:rFonts w:hint="default" w:ascii="Calibri" w:hAnsi="Calibri" w:cs="Calibri"/>
          <w:bCs/>
          <w:i/>
          <w:iCs/>
          <w:color w:val="FF0000"/>
          <w:sz w:val="20"/>
          <w:szCs w:val="20"/>
        </w:rPr>
        <w:t>[...](inserir evento que faça iniciar prazo de contagem conforme nota explicativa abaixo)</w:t>
      </w:r>
      <w:r>
        <w:rPr>
          <w:rFonts w:hint="default" w:ascii="Calibri" w:hAnsi="Calibri" w:cs="Calibri"/>
          <w:bCs/>
          <w:color w:val="auto"/>
          <w:sz w:val="20"/>
          <w:szCs w:val="20"/>
        </w:rPr>
        <w:t xml:space="preserve">, pelo(a) responsável pelo acompanhamento e fiscalização do contrato, </w:t>
      </w:r>
      <w:r>
        <w:rPr>
          <w:rFonts w:hint="default" w:ascii="Calibri" w:hAnsi="Calibri" w:cs="Calibri"/>
          <w:sz w:val="20"/>
          <w:szCs w:val="20"/>
        </w:rPr>
        <w:t>mediante termo detalhado, quando verificado o cumprimento das exigências de caráter técnico</w:t>
      </w:r>
      <w:r>
        <w:rPr>
          <w:rFonts w:hint="default" w:ascii="Calibri" w:hAnsi="Calibri" w:cs="Calibri"/>
          <w:bCs/>
          <w:color w:val="auto"/>
          <w:sz w:val="20"/>
          <w:szCs w:val="20"/>
        </w:rPr>
        <w:t>.</w:t>
      </w:r>
    </w:p>
    <w:p>
      <w:pPr>
        <w:pStyle w:val="45"/>
        <w:numPr>
          <w:ilvl w:val="3"/>
          <w:numId w:val="14"/>
        </w:numPr>
        <w:spacing w:before="0" w:after="0"/>
        <w:ind w:left="1418"/>
        <w:rPr>
          <w:rFonts w:hint="default" w:ascii="Calibri" w:hAnsi="Calibri" w:eastAsia="Arial" w:cs="Calibri"/>
          <w:color w:val="FF0000"/>
          <w:sz w:val="20"/>
          <w:szCs w:val="20"/>
        </w:rPr>
      </w:pPr>
      <w:r>
        <w:rPr>
          <w:rFonts w:hint="default" w:ascii="Calibri" w:hAnsi="Calibri" w:cs="Calibri"/>
          <w:bCs/>
          <w:sz w:val="20"/>
          <w:szCs w:val="20"/>
        </w:rPr>
        <w:t xml:space="preserve">O contratante realizará inspeção minuciosa de todos os serviços executados, por meio de profissionais técnicos competentes, acompanhados dos </w:t>
      </w:r>
      <w:r>
        <w:rPr>
          <w:rFonts w:hint="default" w:ascii="Calibri" w:hAnsi="Calibri" w:cs="Calibri"/>
          <w:sz w:val="20"/>
          <w:szCs w:val="20"/>
        </w:rPr>
        <w:t>profissionais</w:t>
      </w:r>
      <w:r>
        <w:rPr>
          <w:rFonts w:hint="default" w:ascii="Calibri" w:hAnsi="Calibri" w:cs="Calibri"/>
          <w:bCs/>
          <w:sz w:val="20"/>
          <w:szCs w:val="20"/>
        </w:rPr>
        <w:t xml:space="preserve"> encarregados pelo serviço, com a finalidade de verificar a adequação dos serviços e constatar e relacionar os arremates, retoques e revisões finais que se fizerem necessários.</w:t>
      </w:r>
    </w:p>
    <w:p>
      <w:pPr>
        <w:pStyle w:val="45"/>
        <w:numPr>
          <w:ilvl w:val="4"/>
          <w:numId w:val="14"/>
        </w:numPr>
        <w:spacing w:before="0" w:after="0"/>
        <w:ind w:left="2552"/>
        <w:rPr>
          <w:rFonts w:hint="default" w:ascii="Calibri" w:hAnsi="Calibri" w:eastAsia="Arial" w:cs="Calibri"/>
          <w:color w:val="FF0000"/>
          <w:sz w:val="20"/>
          <w:szCs w:val="20"/>
        </w:rPr>
      </w:pPr>
      <w:r>
        <w:rPr>
          <w:rFonts w:hint="default" w:ascii="Calibri" w:hAnsi="Calibri" w:cs="Calibri"/>
          <w:bCs/>
          <w:sz w:val="20"/>
          <w:szCs w:val="20"/>
        </w:rPr>
        <w:t xml:space="preserve">Para efeito de recebimento provisório, ao final de </w:t>
      </w:r>
      <w:r>
        <w:rPr>
          <w:rFonts w:hint="default" w:ascii="Calibri" w:hAnsi="Calibri" w:cs="Calibri"/>
          <w:bCs/>
          <w:color w:val="auto"/>
          <w:sz w:val="20"/>
          <w:szCs w:val="20"/>
        </w:rPr>
        <w:t xml:space="preserve">cada </w:t>
      </w:r>
      <w:r>
        <w:rPr>
          <w:rFonts w:hint="default" w:ascii="Calibri" w:hAnsi="Calibri" w:cs="Calibri"/>
          <w:bCs/>
          <w:sz w:val="20"/>
          <w:szCs w:val="20"/>
        </w:rPr>
        <w:t>etapa e após a apresentação da medição prévia pelo Contratado,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pPr>
        <w:pStyle w:val="45"/>
        <w:numPr>
          <w:ilvl w:val="4"/>
          <w:numId w:val="14"/>
        </w:numPr>
        <w:spacing w:before="0" w:after="0"/>
        <w:ind w:left="2552"/>
        <w:rPr>
          <w:rFonts w:hint="default" w:ascii="Calibri" w:hAnsi="Calibri" w:eastAsia="Arial" w:cs="Calibri"/>
          <w:color w:val="auto"/>
          <w:sz w:val="20"/>
          <w:szCs w:val="20"/>
        </w:rPr>
      </w:pPr>
      <w:r>
        <w:rPr>
          <w:rFonts w:hint="default" w:ascii="Calibri" w:hAnsi="Calibri" w:eastAsia="Arial" w:cs="Calibri"/>
          <w:color w:val="auto"/>
          <w:sz w:val="20"/>
          <w:szCs w:val="20"/>
        </w:rPr>
        <w:t>Em caso de rejeição, o fiscal fixará prazo para que a irregularidade seja sanada, às custas do contratado, sem prejuízo da aplicação de penalidades cabíveis.</w:t>
      </w:r>
    </w:p>
    <w:p>
      <w:pPr>
        <w:pStyle w:val="45"/>
        <w:numPr>
          <w:ilvl w:val="4"/>
          <w:numId w:val="14"/>
        </w:numPr>
        <w:spacing w:before="0" w:after="0"/>
        <w:ind w:left="2552"/>
        <w:rPr>
          <w:rFonts w:hint="default" w:ascii="Calibri" w:hAnsi="Calibri" w:eastAsia="Arial" w:cs="Calibri"/>
          <w:color w:val="auto"/>
          <w:sz w:val="20"/>
          <w:szCs w:val="20"/>
        </w:rPr>
      </w:pPr>
      <w:r>
        <w:rPr>
          <w:rFonts w:hint="default" w:ascii="Calibri" w:hAnsi="Calibri" w:eastAsia="Arial" w:cs="Calibri"/>
          <w:color w:val="auto"/>
          <w:sz w:val="20"/>
          <w:szCs w:val="20"/>
        </w:rPr>
        <w:t>Nesse caso, cabe à fiscalização não atestar a última e/ou única medição de serviços até que sejam sanadas todas as eventuais pendências que possam vir a ser apontadas no Recebimento Provisório</w:t>
      </w:r>
    </w:p>
    <w:p>
      <w:pPr>
        <w:pStyle w:val="45"/>
        <w:spacing w:before="0" w:after="0"/>
        <w:rPr>
          <w:rFonts w:hint="default" w:ascii="Calibri" w:hAnsi="Calibri" w:eastAsia="Arial" w:cs="Calibri"/>
          <w:color w:val="FF0000"/>
          <w:sz w:val="20"/>
          <w:szCs w:val="20"/>
        </w:rPr>
      </w:pPr>
    </w:p>
    <w:p>
      <w:pPr>
        <w:keepNext/>
        <w:pBdr>
          <w:top w:val="single" w:color="1F497D" w:sz="4" w:space="0"/>
          <w:left w:val="single" w:color="1F497D" w:sz="4" w:space="0"/>
          <w:bottom w:val="single" w:color="1F497D" w:sz="4" w:space="0"/>
          <w:right w:val="single" w:color="1F497D" w:sz="4" w:space="0"/>
        </w:pBdr>
        <w:shd w:val="clear" w:color="auto" w:fill="FFFFCC"/>
        <w:tabs>
          <w:tab w:val="left" w:pos="708"/>
        </w:tabs>
        <w:suppressAutoHyphens/>
        <w:overflowPunct w:val="0"/>
        <w:spacing w:before="120" w:after="0" w:line="240" w:lineRule="auto"/>
        <w:ind w:left="491"/>
        <w:jc w:val="both"/>
        <w:rPr>
          <w:rFonts w:hint="default" w:ascii="Calibri" w:hAnsi="Calibri" w:eastAsia="Arial" w:cs="Calibri"/>
          <w:bCs/>
          <w:i/>
          <w:iCs/>
          <w:color w:val="000000" w:themeColor="text1"/>
          <w:sz w:val="20"/>
          <w:szCs w:val="20"/>
          <w14:textFill>
            <w14:solidFill>
              <w14:schemeClr w14:val="tx1"/>
            </w14:solidFill>
          </w14:textFill>
        </w:rPr>
      </w:pPr>
      <w:r>
        <w:rPr>
          <w:rFonts w:hint="default" w:ascii="Calibri" w:hAnsi="Calibri" w:eastAsia="Arial" w:cs="Calibri"/>
          <w:b/>
          <w:bCs/>
          <w:i/>
          <w:iCs/>
          <w:color w:val="000000" w:themeColor="text1"/>
          <w:sz w:val="20"/>
          <w:szCs w:val="20"/>
          <w14:textFill>
            <w14:solidFill>
              <w14:schemeClr w14:val="tx1"/>
            </w14:solidFill>
          </w14:textFill>
        </w:rPr>
        <w:t xml:space="preserve">Nota Explicativa: </w:t>
      </w:r>
      <w:r>
        <w:rPr>
          <w:rFonts w:hint="default" w:ascii="Calibri" w:hAnsi="Calibri" w:eastAsia="Arial" w:cs="Calibri"/>
          <w:bCs/>
          <w:i/>
          <w:iCs/>
          <w:color w:val="000000" w:themeColor="text1"/>
          <w:sz w:val="20"/>
          <w:szCs w:val="20"/>
          <w14:textFill>
            <w14:solidFill>
              <w14:schemeClr w14:val="tx1"/>
            </w14:solidFill>
          </w14:textFill>
        </w:rPr>
        <w:t>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pPr>
        <w:keepNext/>
        <w:pBdr>
          <w:top w:val="single" w:color="1F497D" w:sz="4" w:space="0"/>
          <w:left w:val="single" w:color="1F497D" w:sz="4" w:space="0"/>
          <w:bottom w:val="single" w:color="1F497D" w:sz="4" w:space="0"/>
          <w:right w:val="single" w:color="1F497D" w:sz="4" w:space="0"/>
        </w:pBdr>
        <w:shd w:val="clear" w:color="auto" w:fill="FFFFCC"/>
        <w:tabs>
          <w:tab w:val="left" w:pos="708"/>
        </w:tabs>
        <w:suppressAutoHyphens/>
        <w:overflowPunct w:val="0"/>
        <w:spacing w:before="120" w:after="0" w:line="240" w:lineRule="auto"/>
        <w:ind w:left="491"/>
        <w:jc w:val="both"/>
        <w:rPr>
          <w:rFonts w:hint="default" w:ascii="Calibri" w:hAnsi="Calibri" w:eastAsia="Arial" w:cs="Calibri"/>
          <w:bCs/>
          <w:i/>
          <w:iCs/>
          <w:color w:val="000000" w:themeColor="text1"/>
          <w:sz w:val="20"/>
          <w:szCs w:val="20"/>
          <w14:textFill>
            <w14:solidFill>
              <w14:schemeClr w14:val="tx1"/>
            </w14:solidFill>
          </w14:textFill>
        </w:rPr>
      </w:pPr>
      <w:r>
        <w:rPr>
          <w:rFonts w:hint="default" w:ascii="Calibri" w:hAnsi="Calibri" w:eastAsia="Arial" w:cs="Calibri"/>
          <w:b/>
          <w:bCs/>
          <w:i/>
          <w:iCs/>
          <w:color w:val="000000" w:themeColor="text1"/>
          <w:sz w:val="20"/>
          <w:szCs w:val="20"/>
          <w14:textFill>
            <w14:solidFill>
              <w14:schemeClr w14:val="tx1"/>
            </w14:solidFill>
          </w14:textFill>
        </w:rPr>
        <w:t xml:space="preserve">Nota Explicativa 2: </w:t>
      </w:r>
      <w:r>
        <w:rPr>
          <w:rFonts w:hint="default" w:ascii="Calibri" w:hAnsi="Calibri" w:eastAsia="Arial" w:cs="Calibri"/>
          <w:i/>
          <w:iCs/>
          <w:color w:val="000000" w:themeColor="text1"/>
          <w:sz w:val="20"/>
          <w:szCs w:val="20"/>
          <w14:textFill>
            <w14:solidFill>
              <w14:schemeClr w14:val="tx1"/>
            </w14:solidFill>
          </w14:textFill>
        </w:rPr>
        <w:t>Vide a</w:t>
      </w:r>
      <w:r>
        <w:rPr>
          <w:rFonts w:hint="default" w:ascii="Calibri" w:hAnsi="Calibri" w:eastAsia="Arial" w:cs="Calibri"/>
          <w:bCs/>
          <w:i/>
          <w:iCs/>
          <w:color w:val="000000" w:themeColor="text1"/>
          <w:sz w:val="20"/>
          <w:szCs w:val="20"/>
          <w14:textFill>
            <w14:solidFill>
              <w14:schemeClr w14:val="tx1"/>
            </w14:solidFill>
          </w14:textFill>
        </w:rPr>
        <w:t>córdão do TCU aplicável também aos serviços de engenharia: 9.1.4. abstenham-se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pPr>
        <w:pStyle w:val="45"/>
        <w:spacing w:before="0" w:after="0"/>
        <w:rPr>
          <w:rFonts w:hint="default" w:ascii="Calibri" w:hAnsi="Calibri" w:eastAsia="Arial" w:cs="Calibri"/>
          <w:color w:val="FF0000"/>
          <w:sz w:val="20"/>
          <w:szCs w:val="20"/>
        </w:rPr>
      </w:pPr>
    </w:p>
    <w:p>
      <w:pPr>
        <w:pStyle w:val="45"/>
        <w:numPr>
          <w:ilvl w:val="4"/>
          <w:numId w:val="14"/>
        </w:numPr>
        <w:spacing w:before="0" w:after="0"/>
        <w:ind w:left="2552"/>
        <w:rPr>
          <w:rFonts w:hint="default" w:ascii="Calibri" w:hAnsi="Calibri" w:cs="Calibri"/>
          <w:bCs/>
          <w:sz w:val="20"/>
          <w:szCs w:val="20"/>
        </w:rPr>
      </w:pPr>
      <w:r>
        <w:rPr>
          <w:rFonts w:hint="default" w:ascii="Calibri" w:hAnsi="Calibri" w:cs="Calibri"/>
          <w:bCs/>
          <w:sz w:val="20"/>
          <w:szCs w:val="20"/>
        </w:rPr>
        <w:t>O recebimento provisório também ficará sujeito, quando cabível, à conclusão de todos os testes de campo e à entrega dos Manuais e Instruções exigíveis.</w:t>
      </w:r>
    </w:p>
    <w:p>
      <w:pPr>
        <w:pStyle w:val="45"/>
        <w:numPr>
          <w:ilvl w:val="4"/>
          <w:numId w:val="14"/>
        </w:numPr>
        <w:spacing w:before="0" w:after="0"/>
        <w:ind w:left="2552"/>
        <w:rPr>
          <w:rFonts w:hint="default" w:ascii="Calibri" w:hAnsi="Calibri" w:cs="Calibri"/>
          <w:bCs/>
          <w:sz w:val="20"/>
          <w:szCs w:val="20"/>
        </w:rPr>
      </w:pPr>
      <w:r>
        <w:rPr>
          <w:rFonts w:hint="default" w:ascii="Calibri" w:hAnsi="Calibri" w:cs="Calibri"/>
          <w:bCs/>
          <w:sz w:val="20"/>
          <w:szCs w:val="20"/>
        </w:rPr>
        <w:t>A aprovação da medição prévia apresentada pelo contratado não o exime de qualquer das responsabilidades contratuais, nem implica aceitação definitiva dos serviços executados.</w:t>
      </w:r>
    </w:p>
    <w:p>
      <w:pPr>
        <w:pStyle w:val="45"/>
        <w:numPr>
          <w:ilvl w:val="4"/>
          <w:numId w:val="14"/>
        </w:numPr>
        <w:spacing w:before="0" w:after="0"/>
        <w:ind w:left="2552"/>
        <w:rPr>
          <w:rFonts w:hint="default" w:ascii="Calibri" w:hAnsi="Calibri" w:cs="Calibri"/>
          <w:bCs/>
          <w:sz w:val="20"/>
          <w:szCs w:val="20"/>
        </w:rPr>
      </w:pPr>
      <w:r>
        <w:rPr>
          <w:rFonts w:hint="default" w:ascii="Calibri" w:hAnsi="Calibri" w:cs="Calibri"/>
          <w:bCs/>
          <w:sz w:val="20"/>
          <w:szCs w:val="20"/>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pPr>
        <w:pStyle w:val="45"/>
        <w:numPr>
          <w:ilvl w:val="4"/>
          <w:numId w:val="14"/>
        </w:numPr>
        <w:spacing w:before="0" w:after="0"/>
        <w:ind w:left="2552"/>
        <w:rPr>
          <w:rFonts w:hint="default" w:ascii="Calibri" w:hAnsi="Calibri" w:cs="Calibri"/>
          <w:bCs/>
          <w:sz w:val="20"/>
          <w:szCs w:val="20"/>
        </w:rPr>
      </w:pPr>
      <w:r>
        <w:rPr>
          <w:rFonts w:hint="default" w:ascii="Calibri" w:hAnsi="Calibri" w:cs="Calibri"/>
          <w:bCs/>
          <w:sz w:val="20"/>
          <w:szCs w:val="20"/>
        </w:rPr>
        <w:t>O recebimento provisório também ficará sujeito, quando cabível, à conclusão de todos os testes de campo e à entrega dos Manuais e Instruções exigíveis.</w:t>
      </w:r>
    </w:p>
    <w:p>
      <w:pPr>
        <w:pStyle w:val="45"/>
        <w:numPr>
          <w:ilvl w:val="3"/>
          <w:numId w:val="14"/>
        </w:numPr>
        <w:spacing w:before="0" w:after="0"/>
        <w:ind w:left="1418"/>
        <w:rPr>
          <w:rFonts w:hint="default" w:ascii="Calibri" w:hAnsi="Calibri" w:cs="Calibri"/>
          <w:bCs/>
          <w:color w:val="auto"/>
          <w:sz w:val="20"/>
          <w:szCs w:val="20"/>
        </w:rPr>
      </w:pPr>
      <w:r>
        <w:rPr>
          <w:rFonts w:hint="default" w:ascii="Calibri" w:hAnsi="Calibri" w:cs="Calibri"/>
          <w:bCs/>
          <w:color w:val="auto"/>
          <w:sz w:val="20"/>
          <w:szCs w:val="20"/>
        </w:rPr>
        <w:t xml:space="preserve">No prazo supracitado para o recebimento provisório, cada fiscal ou a equipe de fiscalização </w:t>
      </w:r>
      <w:r>
        <w:rPr>
          <w:rFonts w:hint="default" w:ascii="Calibri" w:hAnsi="Calibri" w:cs="Calibri"/>
          <w:bCs/>
          <w:sz w:val="20"/>
          <w:szCs w:val="20"/>
        </w:rPr>
        <w:t>deverá</w:t>
      </w:r>
      <w:r>
        <w:rPr>
          <w:rFonts w:hint="default" w:ascii="Calibri" w:hAnsi="Calibri" w:cs="Calibri"/>
          <w:bCs/>
          <w:color w:val="auto"/>
          <w:sz w:val="20"/>
          <w:szCs w:val="20"/>
        </w:rPr>
        <w:t xml:space="preserve"> elaborar Relatório Circunstanciado em consonância com suas atribuições, e encaminhá-lo ao gestor do contrato.</w:t>
      </w:r>
    </w:p>
    <w:p>
      <w:pPr>
        <w:pStyle w:val="45"/>
        <w:numPr>
          <w:ilvl w:val="4"/>
          <w:numId w:val="14"/>
        </w:numPr>
        <w:spacing w:before="0" w:after="0"/>
        <w:ind w:left="2552"/>
        <w:rPr>
          <w:rFonts w:hint="default" w:ascii="Calibri" w:hAnsi="Calibri" w:cs="Calibri"/>
          <w:bCs/>
          <w:color w:val="auto"/>
          <w:sz w:val="20"/>
          <w:szCs w:val="20"/>
        </w:rPr>
      </w:pPr>
      <w:r>
        <w:rPr>
          <w:rFonts w:hint="default" w:ascii="Calibri" w:hAnsi="Calibri" w:cs="Calibri"/>
          <w:bCs/>
          <w:color w:val="auto"/>
          <w:sz w:val="20"/>
          <w:szCs w:val="20"/>
        </w:rPr>
        <w:t xml:space="preserve">Quando a fiscalização for exercida por um único servidor, o relatório circunstanciado deverá conter o registro, a análise e a conclusão acerca das </w:t>
      </w:r>
      <w:r>
        <w:rPr>
          <w:rFonts w:hint="default" w:ascii="Calibri" w:hAnsi="Calibri" w:cs="Calibri"/>
          <w:bCs/>
          <w:sz w:val="20"/>
          <w:szCs w:val="20"/>
        </w:rPr>
        <w:t>ocorrências</w:t>
      </w:r>
      <w:r>
        <w:rPr>
          <w:rFonts w:hint="default" w:ascii="Calibri" w:hAnsi="Calibri" w:cs="Calibri"/>
          <w:bCs/>
          <w:color w:val="auto"/>
          <w:sz w:val="20"/>
          <w:szCs w:val="20"/>
        </w:rPr>
        <w:t xml:space="preserve"> na execução do contrato, em relação à fiscalização técnica e administrativa e demais documentos que julgar necessários, devendo encaminhá-los ao gestor do contrato para recebimento definitivo.</w:t>
      </w:r>
    </w:p>
    <w:p>
      <w:pPr>
        <w:pStyle w:val="45"/>
        <w:numPr>
          <w:ilvl w:val="2"/>
          <w:numId w:val="14"/>
        </w:numPr>
        <w:spacing w:before="0" w:after="0"/>
        <w:rPr>
          <w:rFonts w:hint="default" w:ascii="Calibri" w:hAnsi="Calibri" w:cs="Calibri"/>
          <w:sz w:val="20"/>
          <w:szCs w:val="20"/>
        </w:rPr>
      </w:pPr>
      <w:r>
        <w:rPr>
          <w:rFonts w:hint="default" w:ascii="Calibri" w:hAnsi="Calibri" w:cs="Calibri"/>
          <w:bCs/>
          <w:color w:val="auto"/>
          <w:sz w:val="20"/>
          <w:szCs w:val="20"/>
        </w:rPr>
        <w:t>Os serviços poderão ser rejeitados, no todo ou em parte, quando em desacordo com as especificações constantes neste Termo de Referência e na proposta, devendo ser</w:t>
      </w:r>
      <w:r>
        <w:rPr>
          <w:rFonts w:hint="default" w:ascii="Calibri" w:hAnsi="Calibri" w:cs="Calibri"/>
          <w:bCs/>
          <w:strike/>
          <w:color w:val="auto"/>
          <w:sz w:val="20"/>
          <w:szCs w:val="20"/>
        </w:rPr>
        <w:t xml:space="preserve"> </w:t>
      </w:r>
      <w:r>
        <w:rPr>
          <w:rFonts w:hint="default" w:ascii="Calibri" w:hAnsi="Calibri" w:cs="Calibri"/>
          <w:bCs/>
          <w:color w:val="auto"/>
          <w:sz w:val="20"/>
          <w:szCs w:val="20"/>
        </w:rPr>
        <w:t xml:space="preserve">corrigidos/refeitos/substituídos no prazo de </w:t>
      </w:r>
      <w:r>
        <w:rPr>
          <w:rFonts w:hint="default" w:ascii="Calibri" w:hAnsi="Calibri" w:cs="Calibri"/>
          <w:bCs/>
          <w:color w:val="FF0000"/>
          <w:sz w:val="20"/>
          <w:szCs w:val="20"/>
        </w:rPr>
        <w:t xml:space="preserve">.... (...) </w:t>
      </w:r>
      <w:r>
        <w:rPr>
          <w:rFonts w:hint="default" w:ascii="Calibri" w:hAnsi="Calibri" w:cs="Calibri"/>
          <w:bCs/>
          <w:color w:val="auto"/>
          <w:sz w:val="20"/>
          <w:szCs w:val="20"/>
        </w:rPr>
        <w:t>dias, a contar da notificação da contratada, às suas custas, sem prejuízo da aplicação das penalidades.</w:t>
      </w:r>
    </w:p>
    <w:p>
      <w:pPr>
        <w:pStyle w:val="45"/>
        <w:numPr>
          <w:ilvl w:val="2"/>
          <w:numId w:val="14"/>
        </w:numPr>
        <w:spacing w:before="0" w:after="0"/>
        <w:rPr>
          <w:rFonts w:hint="default" w:ascii="Calibri" w:hAnsi="Calibri" w:cs="Calibri"/>
          <w:bCs/>
          <w:color w:val="auto"/>
          <w:sz w:val="20"/>
          <w:szCs w:val="20"/>
        </w:rPr>
      </w:pPr>
      <w:r>
        <w:rPr>
          <w:rFonts w:hint="default" w:ascii="Calibri" w:hAnsi="Calibri" w:cs="Calibri"/>
          <w:bCs/>
          <w:color w:val="auto"/>
          <w:sz w:val="20"/>
          <w:szCs w:val="20"/>
        </w:rPr>
        <w:t xml:space="preserve">Os serviços serão recebidos definitivamente no prazo de </w:t>
      </w:r>
      <w:r>
        <w:rPr>
          <w:rFonts w:hint="default" w:ascii="Calibri" w:hAnsi="Calibri" w:cs="Calibri"/>
          <w:bCs/>
          <w:color w:val="FF0000"/>
          <w:sz w:val="20"/>
          <w:szCs w:val="20"/>
        </w:rPr>
        <w:t>......(.....)</w:t>
      </w:r>
      <w:r>
        <w:rPr>
          <w:rFonts w:hint="default" w:ascii="Calibri" w:hAnsi="Calibri" w:cs="Calibri"/>
          <w:bCs/>
          <w:color w:val="auto"/>
          <w:sz w:val="20"/>
          <w:szCs w:val="20"/>
        </w:rPr>
        <w:t xml:space="preserve"> dias, contados do recebimento provisório, </w:t>
      </w:r>
      <w:r>
        <w:rPr>
          <w:rFonts w:hint="default" w:ascii="Calibri" w:hAnsi="Calibri" w:cs="Calibri"/>
          <w:sz w:val="20"/>
          <w:szCs w:val="20"/>
        </w:rPr>
        <w:t>por servidor ou comissão designada pela autoridade competente,</w:t>
      </w:r>
      <w:r>
        <w:rPr>
          <w:rFonts w:hint="default" w:ascii="Calibri" w:hAnsi="Calibri" w:cs="Calibri"/>
          <w:bCs/>
          <w:color w:val="auto"/>
          <w:sz w:val="20"/>
          <w:szCs w:val="20"/>
        </w:rPr>
        <w:t xml:space="preserve"> após a verificação da qualidade e quantidade do serviço e consequente aceitação mediante termo detalhado, obedecendo as seguintes diretrizes:</w:t>
      </w:r>
    </w:p>
    <w:p>
      <w:pPr>
        <w:pStyle w:val="42"/>
        <w:rPr>
          <w:rFonts w:hint="default" w:ascii="Calibri" w:hAnsi="Calibri" w:cs="Calibri"/>
          <w:szCs w:val="20"/>
        </w:rPr>
      </w:pPr>
      <w:r>
        <w:rPr>
          <w:rFonts w:hint="default" w:ascii="Calibri" w:hAnsi="Calibri" w:cs="Calibri"/>
          <w:b/>
          <w:bCs/>
          <w:szCs w:val="20"/>
        </w:rPr>
        <w:t>Nota Explicativa:</w:t>
      </w:r>
      <w:r>
        <w:rPr>
          <w:rFonts w:hint="default" w:ascii="Calibri" w:hAnsi="Calibri" w:cs="Calibri"/>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pPr>
        <w:pStyle w:val="45"/>
        <w:spacing w:before="0" w:after="0"/>
        <w:rPr>
          <w:rFonts w:hint="default" w:ascii="Calibri" w:hAnsi="Calibri" w:cs="Calibri"/>
          <w:bCs/>
          <w:color w:val="auto"/>
          <w:sz w:val="20"/>
          <w:szCs w:val="20"/>
        </w:rPr>
      </w:pPr>
    </w:p>
    <w:p>
      <w:pPr>
        <w:pStyle w:val="45"/>
        <w:numPr>
          <w:ilvl w:val="3"/>
          <w:numId w:val="14"/>
        </w:numPr>
        <w:spacing w:before="0" w:after="0"/>
        <w:ind w:left="1418"/>
        <w:rPr>
          <w:rFonts w:hint="default" w:ascii="Calibri" w:hAnsi="Calibri" w:cs="Calibri"/>
          <w:bCs/>
          <w:color w:val="auto"/>
          <w:sz w:val="20"/>
          <w:szCs w:val="20"/>
        </w:rPr>
      </w:pPr>
      <w:r>
        <w:rPr>
          <w:rFonts w:hint="default" w:ascii="Calibri" w:hAnsi="Calibri" w:cs="Calibri"/>
          <w:bCs/>
          <w:color w:val="auto"/>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pPr>
        <w:pStyle w:val="45"/>
        <w:numPr>
          <w:ilvl w:val="3"/>
          <w:numId w:val="14"/>
        </w:numPr>
        <w:spacing w:before="0" w:after="0"/>
        <w:ind w:left="1418"/>
        <w:rPr>
          <w:rFonts w:hint="default" w:ascii="Calibri" w:hAnsi="Calibri" w:cs="Calibri"/>
          <w:bCs/>
          <w:color w:val="auto"/>
          <w:sz w:val="20"/>
          <w:szCs w:val="20"/>
        </w:rPr>
      </w:pPr>
      <w:r>
        <w:rPr>
          <w:rFonts w:hint="default" w:ascii="Calibri" w:hAnsi="Calibri" w:cs="Calibri"/>
          <w:bCs/>
          <w:color w:val="auto"/>
          <w:sz w:val="20"/>
          <w:szCs w:val="20"/>
        </w:rPr>
        <w:t>Emitir Termo Circunstanciado para efeito de recebimento definitivo dos serviços prestados, com base nos relatórios e documentações apresentadas; e</w:t>
      </w:r>
    </w:p>
    <w:p>
      <w:pPr>
        <w:pStyle w:val="45"/>
        <w:numPr>
          <w:ilvl w:val="3"/>
          <w:numId w:val="14"/>
        </w:numPr>
        <w:spacing w:before="0" w:after="0"/>
        <w:ind w:left="1418"/>
        <w:rPr>
          <w:rFonts w:hint="default" w:ascii="Calibri" w:hAnsi="Calibri" w:cs="Calibri"/>
          <w:bCs/>
          <w:color w:val="auto"/>
          <w:sz w:val="20"/>
          <w:szCs w:val="20"/>
        </w:rPr>
      </w:pPr>
      <w:r>
        <w:rPr>
          <w:rFonts w:hint="default" w:ascii="Calibri" w:hAnsi="Calibri" w:cs="Calibri"/>
          <w:bCs/>
          <w:color w:val="auto"/>
          <w:sz w:val="20"/>
          <w:szCs w:val="20"/>
        </w:rPr>
        <w:t>Comunicar a empresa para que emita a Nota Fiscal ou Fatura, com o valor exato dimensionado pela fiscalizaçã</w:t>
      </w:r>
      <w:r>
        <w:rPr>
          <w:rFonts w:hint="default" w:ascii="Calibri" w:hAnsi="Calibri" w:cs="Calibri"/>
          <w:sz w:val="20"/>
          <w:szCs w:val="20"/>
        </w:rPr>
        <w:t>o</w:t>
      </w:r>
      <w:r>
        <w:rPr>
          <w:rFonts w:hint="default" w:ascii="Calibri" w:hAnsi="Calibri" w:cs="Calibri"/>
          <w:i/>
          <w:color w:val="FF0000"/>
          <w:sz w:val="20"/>
          <w:szCs w:val="20"/>
        </w:rPr>
        <w:t>, com base no Instrumento de Medição de Resultado (IMR), ou instrumento substituto.</w:t>
      </w:r>
    </w:p>
    <w:p>
      <w:pPr>
        <w:pStyle w:val="42"/>
        <w:rPr>
          <w:rFonts w:hint="default" w:ascii="Calibri" w:hAnsi="Calibri" w:cs="Calibri"/>
          <w:b/>
          <w:bCs/>
          <w:szCs w:val="20"/>
        </w:rPr>
      </w:pPr>
      <w:r>
        <w:rPr>
          <w:rFonts w:hint="default" w:ascii="Calibri" w:hAnsi="Calibri" w:cs="Calibri"/>
          <w:b/>
          <w:bCs/>
          <w:szCs w:val="20"/>
        </w:rPr>
        <w:t>Nota Explicativa:</w:t>
      </w:r>
      <w:r>
        <w:rPr>
          <w:rFonts w:hint="default" w:ascii="Calibri" w:hAnsi="Calibri" w:cs="Calibri"/>
          <w:szCs w:val="20"/>
        </w:rPr>
        <w:t xml:space="preserve"> Caso exista algum instrumento para medição dos resultados, deve ser especificado.</w:t>
      </w:r>
    </w:p>
    <w:p>
      <w:pPr>
        <w:pStyle w:val="45"/>
        <w:numPr>
          <w:ilvl w:val="2"/>
          <w:numId w:val="14"/>
        </w:numPr>
        <w:spacing w:before="0" w:after="0"/>
        <w:rPr>
          <w:rFonts w:hint="default" w:ascii="Calibri" w:hAnsi="Calibri" w:cs="Calibri"/>
          <w:bCs/>
          <w:color w:val="auto"/>
          <w:sz w:val="20"/>
          <w:szCs w:val="20"/>
        </w:rPr>
      </w:pPr>
      <w:r>
        <w:rPr>
          <w:rFonts w:hint="default" w:ascii="Calibri" w:hAnsi="Calibri" w:cs="Calibri"/>
          <w:bCs/>
          <w:color w:val="auto"/>
          <w:sz w:val="20"/>
          <w:szCs w:val="20"/>
        </w:rPr>
        <w:t>O recebimento provisório ou definitivo não excluirá a responsabilidade civil pela solidez e pela segurança do serviço nem a responsabilidade ético-profissional pela perfeita execução do contrato.</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sz w:val="20"/>
          <w:szCs w:val="20"/>
          <w:lang w:val="zh-CN"/>
        </w:rPr>
      </w:pPr>
      <w:r>
        <w:rPr>
          <w:rFonts w:hint="default" w:ascii="Calibri" w:hAnsi="Calibri" w:eastAsia="Calibri" w:cs="Calibri"/>
          <w:b/>
          <w:i/>
          <w:sz w:val="20"/>
          <w:szCs w:val="20"/>
          <w:lang w:val="zh-CN"/>
        </w:rPr>
        <w:t xml:space="preserve">Nota Explicativa: </w:t>
      </w:r>
      <w:r>
        <w:rPr>
          <w:rFonts w:hint="default" w:ascii="Calibri" w:hAnsi="Calibri" w:eastAsia="Calibri" w:cs="Calibri"/>
          <w:i/>
          <w:iCs/>
          <w:sz w:val="20"/>
          <w:szCs w:val="20"/>
          <w:lang w:val="zh-CN"/>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p>
      <w:pPr>
        <w:spacing w:after="0" w:line="276" w:lineRule="auto"/>
        <w:jc w:val="both"/>
        <w:rPr>
          <w:rFonts w:hint="default" w:ascii="Calibri" w:hAnsi="Calibri" w:cs="Calibri"/>
          <w:sz w:val="20"/>
          <w:szCs w:val="20"/>
        </w:rPr>
      </w:pPr>
    </w:p>
    <w:p>
      <w:pPr>
        <w:pStyle w:val="43"/>
        <w:numPr>
          <w:ilvl w:val="0"/>
          <w:numId w:val="4"/>
        </w:numPr>
        <w:rPr>
          <w:rFonts w:hint="default" w:ascii="Calibri" w:hAnsi="Calibri" w:cs="Calibri"/>
          <w:bCs/>
          <w:color w:val="FF0000"/>
          <w:sz w:val="20"/>
          <w:szCs w:val="20"/>
        </w:rPr>
      </w:pPr>
      <w:r>
        <w:rPr>
          <w:rFonts w:hint="default" w:ascii="Calibri" w:hAnsi="Calibri" w:cs="Calibri"/>
          <w:color w:val="FF0000"/>
          <w:sz w:val="20"/>
          <w:szCs w:val="20"/>
        </w:rPr>
        <w:t>ESPECIFICAÇÃO DA GARANTIA CONTRATUAL EXIGIDA E DAS CONDIÇÕES DE MANUTENÇÃO E ASSISTÊNCIA TÉCNICA (art. 18, III, da Lei n. 14.133/2021)</w:t>
      </w:r>
    </w:p>
    <w:p>
      <w:pPr>
        <w:pStyle w:val="42"/>
        <w:spacing w:before="0"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szCs w:val="20"/>
        </w:rPr>
        <w:t xml:space="preserve"> Fica a critério da Administração exigir - ou não - a garantia contratual dos serviços, complementar à garantia legal, mediante a devida fundamentação, a ser exposta neste item do Termo de Referência. Não a exigindo, deverá suprimir o item. Sugere-se a redação abaixo para os serviços: </w:t>
      </w:r>
    </w:p>
    <w:p>
      <w:pPr>
        <w:spacing w:after="0" w:line="276" w:lineRule="auto"/>
        <w:rPr>
          <w:rFonts w:hint="default" w:ascii="Calibri" w:hAnsi="Calibri" w:cs="Calibri"/>
          <w:sz w:val="20"/>
          <w:szCs w:val="20"/>
        </w:rPr>
      </w:pPr>
    </w:p>
    <w:p>
      <w:pPr>
        <w:pStyle w:val="39"/>
        <w:numPr>
          <w:ilvl w:val="1"/>
          <w:numId w:val="4"/>
        </w:numPr>
        <w:spacing w:after="0" w:line="276" w:lineRule="auto"/>
        <w:jc w:val="both"/>
        <w:rPr>
          <w:rFonts w:hint="default" w:ascii="Calibri" w:hAnsi="Calibri" w:cs="Calibri"/>
          <w:i/>
          <w:color w:val="FF0000"/>
          <w:sz w:val="20"/>
          <w:szCs w:val="20"/>
        </w:rPr>
      </w:pPr>
      <w:r>
        <w:rPr>
          <w:rFonts w:hint="default" w:ascii="Calibri" w:hAnsi="Calibri" w:cs="Calibri"/>
          <w:i/>
          <w:iCs/>
          <w:color w:val="FF0000"/>
          <w:sz w:val="20"/>
          <w:szCs w:val="20"/>
        </w:rPr>
        <w:t>O prazo de garantia contratual dos serviços, complementar à garantia legal e independente da garantia de execução contratual, será de, no mínimo, ___ (____) meses, contado a partir do primeiro dia útil subsequente à data do recebimento definitivo do objeto.</w:t>
      </w:r>
    </w:p>
    <w:p>
      <w:pPr>
        <w:pStyle w:val="39"/>
        <w:numPr>
          <w:ilvl w:val="2"/>
          <w:numId w:val="15"/>
        </w:numPr>
        <w:spacing w:after="0" w:line="276" w:lineRule="auto"/>
        <w:jc w:val="both"/>
        <w:rPr>
          <w:rFonts w:hint="default" w:ascii="Calibri" w:hAnsi="Calibri" w:cs="Calibri"/>
          <w:i/>
          <w:color w:val="FF0000"/>
          <w:sz w:val="20"/>
          <w:szCs w:val="20"/>
        </w:rPr>
      </w:pPr>
      <w:r>
        <w:rPr>
          <w:rFonts w:hint="default" w:ascii="Calibri" w:hAnsi="Calibri" w:cs="Calibri"/>
          <w:i/>
          <w:iCs/>
          <w:color w:val="FF0000"/>
          <w:sz w:val="20"/>
          <w:szCs w:val="20"/>
        </w:rPr>
        <w:t>Caso o prazo da garantia oferecida pelo fabricante seja inferior ao estabelecido nesta cláusula, o Contratado deverá complementar a garantia do bem ofertado pelo período restante.</w:t>
      </w:r>
    </w:p>
    <w:p>
      <w:pPr>
        <w:pStyle w:val="39"/>
        <w:spacing w:after="0" w:line="276" w:lineRule="auto"/>
        <w:ind w:left="1072"/>
        <w:jc w:val="both"/>
        <w:rPr>
          <w:rFonts w:hint="default" w:ascii="Calibri" w:hAnsi="Calibri" w:cs="Calibri"/>
          <w:i/>
          <w:color w:val="FF0000"/>
          <w:sz w:val="20"/>
          <w:szCs w:val="20"/>
        </w:rPr>
      </w:pPr>
    </w:p>
    <w:p>
      <w:pPr>
        <w:pStyle w:val="42"/>
        <w:spacing w:before="0" w:line="276" w:lineRule="auto"/>
        <w:rPr>
          <w:rFonts w:hint="default" w:ascii="Calibri" w:hAnsi="Calibri" w:cs="Calibri"/>
          <w:i w:val="0"/>
          <w:color w:val="FF0000"/>
          <w:szCs w:val="20"/>
        </w:rPr>
      </w:pPr>
      <w:r>
        <w:rPr>
          <w:rFonts w:hint="default" w:ascii="Calibri" w:hAnsi="Calibri" w:cs="Calibri"/>
          <w:b/>
          <w:bCs/>
          <w:szCs w:val="20"/>
        </w:rPr>
        <w:t xml:space="preserve">Nota Explicativa: </w:t>
      </w:r>
      <w:r>
        <w:rPr>
          <w:rFonts w:hint="default" w:ascii="Calibri" w:hAnsi="Calibri" w:cs="Calibri"/>
          <w:szCs w:val="20"/>
        </w:rPr>
        <w:t>É comum que alguns serviços envolvam o fornecimento de bens, insumos e materiais. Se for o caso, pode ser conveniente exigir garantia desses itens. Para tanto, sugere-se a redação abaixo. A exigência de garantia, bem como o prazo previsto devem ser justificados nos autos.</w:t>
      </w:r>
      <w:r>
        <w:rPr>
          <w:rFonts w:hint="default" w:ascii="Calibri" w:hAnsi="Calibri" w:cs="Calibri"/>
          <w:strike/>
          <w:color w:val="FF0000"/>
          <w:szCs w:val="20"/>
          <w:highlight w:val="yellow"/>
        </w:rPr>
        <w:t xml:space="preserve"> </w:t>
      </w:r>
    </w:p>
    <w:p>
      <w:pPr>
        <w:pStyle w:val="39"/>
        <w:spacing w:after="0" w:line="276" w:lineRule="auto"/>
        <w:ind w:left="2491"/>
        <w:jc w:val="both"/>
        <w:rPr>
          <w:rFonts w:hint="default" w:ascii="Calibri" w:hAnsi="Calibri" w:cs="Calibri"/>
          <w:i/>
          <w:color w:val="FF0000"/>
          <w:sz w:val="20"/>
          <w:szCs w:val="20"/>
        </w:rPr>
      </w:pPr>
    </w:p>
    <w:p>
      <w:pPr>
        <w:pStyle w:val="39"/>
        <w:numPr>
          <w:ilvl w:val="1"/>
          <w:numId w:val="4"/>
        </w:numPr>
        <w:spacing w:after="0" w:line="276" w:lineRule="auto"/>
        <w:jc w:val="both"/>
        <w:rPr>
          <w:rFonts w:hint="default" w:ascii="Calibri" w:hAnsi="Calibri" w:cs="Calibri"/>
          <w:i/>
          <w:color w:val="FF0000"/>
          <w:sz w:val="20"/>
          <w:szCs w:val="20"/>
        </w:rPr>
      </w:pPr>
      <w:r>
        <w:rPr>
          <w:rFonts w:hint="default" w:ascii="Calibri" w:hAnsi="Calibri" w:cs="Calibri"/>
          <w:i/>
          <w:iCs/>
          <w:color w:val="FF0000"/>
          <w:sz w:val="20"/>
          <w:szCs w:val="20"/>
        </w:rPr>
        <w:t>O prazo de garantia contratual dos bens, complementar à garantia legal, é de, no mínimo, __ (____) meses, ou pelo prazo fornecido pelo fabricante, se superior, contado a partir do primeiro dia útil subsequente à data do recebimento definitivo do objeto.</w:t>
      </w:r>
    </w:p>
    <w:p>
      <w:pPr>
        <w:pStyle w:val="39"/>
        <w:spacing w:after="0" w:line="276" w:lineRule="auto"/>
        <w:ind w:left="1072"/>
        <w:jc w:val="both"/>
        <w:rPr>
          <w:rFonts w:hint="default" w:ascii="Calibri" w:hAnsi="Calibri" w:cs="Calibri"/>
          <w:i/>
          <w:color w:val="FF0000"/>
          <w:sz w:val="20"/>
          <w:szCs w:val="20"/>
        </w:rPr>
      </w:pPr>
    </w:p>
    <w:p>
      <w:pPr>
        <w:pStyle w:val="42"/>
        <w:spacing w:before="0" w:line="276" w:lineRule="auto"/>
        <w:rPr>
          <w:rFonts w:hint="default" w:ascii="Calibri" w:hAnsi="Calibri" w:cs="Calibri"/>
          <w:szCs w:val="20"/>
        </w:rPr>
      </w:pPr>
      <w:r>
        <w:rPr>
          <w:rFonts w:hint="default" w:ascii="Calibri" w:hAnsi="Calibri" w:cs="Calibri"/>
          <w:b/>
          <w:bCs/>
          <w:szCs w:val="20"/>
        </w:rPr>
        <w:t xml:space="preserve">Nota Explicativa: </w:t>
      </w:r>
      <w:r>
        <w:rPr>
          <w:rFonts w:hint="default" w:ascii="Calibri" w:hAnsi="Calibri" w:cs="Calibri"/>
          <w:szCs w:val="20"/>
        </w:rPr>
        <w:t>A exigência de garantia, bem como o prazo previsto devem ser justificados nos autos.</w:t>
      </w:r>
    </w:p>
    <w:p>
      <w:pPr>
        <w:spacing w:after="0" w:line="276" w:lineRule="auto"/>
        <w:jc w:val="both"/>
        <w:rPr>
          <w:rFonts w:hint="default" w:ascii="Calibri" w:hAnsi="Calibri" w:cs="Calibri"/>
          <w:i/>
          <w:color w:val="FF0000"/>
          <w:sz w:val="20"/>
          <w:szCs w:val="20"/>
        </w:rPr>
      </w:pPr>
      <w:r>
        <w:rPr>
          <w:rFonts w:hint="default" w:ascii="Calibri" w:hAnsi="Calibri" w:cs="Calibri"/>
          <w:i/>
          <w:iCs/>
          <w:strike/>
          <w:color w:val="FF0000"/>
          <w:sz w:val="20"/>
          <w:szCs w:val="20"/>
        </w:rPr>
        <w:t xml:space="preserve">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A garantia será prestada com vistas a manter os equipamentos fornecidos em perfeitas condições de uso, sem qualquer ônus ou custo adicional para o Contratante.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A garantia abrange a realização da manutenção corretiva dos bens pela própria Contratada, ou, se for o caso, por meio de assistência técnica autorizada, de acordo com as normas técnicas específicas.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Entende-se por manutenção corretiva aquela destinada a corrigir os defeitos apresentados pelos bens, compreendendo a substituição de peças, a realização de ajustes, reparos e correções necessárias.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Uma vez notificada,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O prazo indicado no subitem anterior, durante seu transcurso, poderá ser prorrogado uma única vez, por igual período, mediante solicitação escrita e justificada do Contratado, aceita pelo Contratante.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O custo referente ao transporte dos equipamentos cobertos pela garantia será de responsabilidade do Contratado. </w:t>
      </w:r>
    </w:p>
    <w:p>
      <w:pPr>
        <w:pStyle w:val="39"/>
        <w:numPr>
          <w:ilvl w:val="2"/>
          <w:numId w:val="16"/>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szCs w:val="2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nº 14.133/2021).</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
          <w:bCs/>
          <w:i/>
          <w:iCs/>
          <w:color w:val="000000"/>
          <w:sz w:val="20"/>
          <w:szCs w:val="20"/>
        </w:rPr>
        <w:t xml:space="preserve">Nota Explicativa: </w:t>
      </w:r>
      <w:r>
        <w:rPr>
          <w:rFonts w:hint="default" w:ascii="Calibri" w:hAnsi="Calibri" w:cs="Calibri"/>
          <w:bCs/>
          <w:i/>
          <w:iCs/>
          <w:color w:val="000000"/>
          <w:sz w:val="20"/>
          <w:szCs w:val="20"/>
        </w:rPr>
        <w:t xml:space="preserve">A Administração deverá optar por </w:t>
      </w:r>
      <w:r>
        <w:rPr>
          <w:rFonts w:hint="default" w:ascii="Calibri" w:hAnsi="Calibri" w:cs="Calibri"/>
          <w:b/>
          <w:bCs/>
          <w:i/>
          <w:iCs/>
          <w:color w:val="000000"/>
          <w:sz w:val="20"/>
          <w:szCs w:val="20"/>
        </w:rPr>
        <w:t xml:space="preserve">apenas uma </w:t>
      </w:r>
      <w:r>
        <w:rPr>
          <w:rFonts w:hint="default" w:ascii="Calibri" w:hAnsi="Calibri" w:cs="Calibri"/>
          <w:bCs/>
          <w:i/>
          <w:iCs/>
          <w:color w:val="000000"/>
          <w:sz w:val="20"/>
          <w:szCs w:val="20"/>
        </w:rPr>
        <w:t xml:space="preserve">das sugestões de redação descritas neste item do Termo de Referência, relativas à forma e aos critérios de seleção do fornecedor, quais sejam: 1) a primeira opção, adiante, caso se trate de contratação direta, por dispensa de licitação, realizada no âmbito do Sistema de Dispensa Eletrônica estabelecido na Instrução Normativa SEGES/ME nº 67, de 8 de julho de 2021; </w:t>
      </w:r>
      <w:r>
        <w:rPr>
          <w:rFonts w:hint="default" w:ascii="Calibri" w:hAnsi="Calibri" w:cs="Calibri"/>
          <w:b/>
          <w:bCs/>
          <w:i/>
          <w:iCs/>
          <w:color w:val="000000"/>
          <w:sz w:val="20"/>
          <w:szCs w:val="20"/>
        </w:rPr>
        <w:t>OU, ALTERNATIVAMENTE</w:t>
      </w:r>
      <w:r>
        <w:rPr>
          <w:rFonts w:hint="default" w:ascii="Calibri" w:hAnsi="Calibri" w:cs="Calibri"/>
          <w:bCs/>
          <w:i/>
          <w:iCs/>
          <w:color w:val="000000"/>
          <w:sz w:val="20"/>
          <w:szCs w:val="20"/>
        </w:rPr>
        <w:t>, 2) a segunda opção, caso se trate de contratação direta, por dispensa ou inexigibilidade de licitação, realizadas sem a utilização do mencionado Sistema de Dispensa Eletrônica.</w:t>
      </w:r>
    </w:p>
    <w:p>
      <w:pPr>
        <w:spacing w:after="0" w:line="276" w:lineRule="auto"/>
        <w:jc w:val="both"/>
        <w:rPr>
          <w:rFonts w:hint="default" w:ascii="Calibri" w:hAnsi="Calibri" w:cs="Calibri"/>
          <w:b/>
          <w:bCs/>
          <w:i/>
          <w:color w:val="FF0000"/>
          <w:sz w:val="20"/>
          <w:szCs w:val="20"/>
        </w:rPr>
      </w:pPr>
    </w:p>
    <w:p>
      <w:pPr>
        <w:pStyle w:val="43"/>
        <w:numPr>
          <w:ilvl w:val="0"/>
          <w:numId w:val="17"/>
        </w:numPr>
        <w:rPr>
          <w:rFonts w:hint="default" w:ascii="Calibri" w:hAnsi="Calibri" w:cs="Calibri"/>
          <w:color w:val="FF0000"/>
          <w:sz w:val="20"/>
          <w:szCs w:val="20"/>
        </w:rPr>
      </w:pPr>
      <w:r>
        <w:rPr>
          <w:rFonts w:hint="default" w:ascii="Calibri" w:hAnsi="Calibri" w:cs="Calibri"/>
          <w:color w:val="FF0000"/>
          <w:sz w:val="20"/>
          <w:szCs w:val="20"/>
        </w:rPr>
        <w:t xml:space="preserve">FORMA E </w:t>
      </w:r>
      <w:r>
        <w:rPr>
          <w:rFonts w:hint="default" w:ascii="Calibri" w:hAnsi="Calibri" w:cs="Calibri"/>
          <w:bCs/>
          <w:color w:val="FF0000"/>
          <w:sz w:val="20"/>
          <w:szCs w:val="20"/>
        </w:rPr>
        <w:t>CRITÉRIOS</w:t>
      </w:r>
      <w:r>
        <w:rPr>
          <w:rFonts w:hint="default" w:ascii="Calibri" w:hAnsi="Calibri" w:cs="Calibri"/>
          <w:color w:val="FF0000"/>
          <w:sz w:val="20"/>
          <w:szCs w:val="20"/>
        </w:rPr>
        <w:t xml:space="preserve"> DE SELEÇÃO DO FORNECEDOR (art. 6º, inciso XXIII, alínea ‘h’, da Lei nº 14.133/2021) </w:t>
      </w:r>
    </w:p>
    <w:p>
      <w:pPr>
        <w:spacing w:before="120" w:after="120" w:line="276" w:lineRule="auto"/>
        <w:contextualSpacing/>
        <w:jc w:val="both"/>
        <w:rPr>
          <w:rFonts w:hint="default" w:ascii="Calibri" w:hAnsi="Calibri" w:eastAsia="Times New Roman" w:cs="Calibri"/>
          <w:sz w:val="20"/>
          <w:szCs w:val="20"/>
          <w:lang w:eastAsia="pt-BR"/>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r>
        <w:rPr>
          <w:rFonts w:hint="default" w:ascii="Calibri" w:hAnsi="Calibri" w:cs="Calibri"/>
          <w:b/>
          <w:bCs/>
          <w:i/>
          <w:iCs/>
          <w:color w:val="000000"/>
          <w:sz w:val="20"/>
          <w:szCs w:val="20"/>
        </w:rPr>
        <w:t>Nota Explicativa:</w:t>
      </w:r>
      <w:r>
        <w:rPr>
          <w:rFonts w:hint="default" w:ascii="Calibri" w:hAnsi="Calibri" w:cs="Calibri"/>
          <w:bCs/>
          <w:i/>
          <w:iCs/>
          <w:color w:val="000000"/>
          <w:sz w:val="20"/>
          <w:szCs w:val="20"/>
        </w:rPr>
        <w:t xml:space="preserve"> Como visto, segundo a IN SEGES/ME n.º </w:t>
      </w:r>
      <w:r>
        <w:rPr>
          <w:rFonts w:hint="default" w:ascii="Calibri" w:hAnsi="Calibri" w:cs="Calibri"/>
          <w:bCs/>
          <w:i/>
          <w:iCs/>
          <w:color w:val="000000"/>
          <w:sz w:val="20"/>
          <w:szCs w:val="20"/>
          <w:lang w:val="pt-BR"/>
        </w:rPr>
        <w:t>81/2022</w:t>
      </w:r>
      <w:r>
        <w:rPr>
          <w:rFonts w:hint="default" w:ascii="Calibri" w:hAnsi="Calibri" w:cs="Calibri"/>
          <w:bCs/>
          <w:i/>
          <w:iCs/>
          <w:color w:val="000000"/>
          <w:sz w:val="20"/>
          <w:szCs w:val="20"/>
        </w:rPr>
        <w:t>, em regra, as contratações diretas de pequeno valor, por dispensa de licitação, previstas nos incisos I e II do art. 75, da Lei n.º 14.133/2021, deverão ser realizadas no âmbito do Sistema de Dispensa Eletrônica. Já as contratações por dispensa previstas no inciso III e seguintes do art. 75 da Lei n.º 14.133/2021, serão realizadas por meio do procedimento eletrônico “quando cabível”, de modo que a área competente deverá avaliar a pertinência do uso de tal ferramenta considerando a sua demanda.</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Quando se tratar das contratações diretas realizadas sem a utilização do Sistema de Dispensa Eletrônica, deverão ser utilizadas as disposições a seguir indicadas, no que se refere à forma e aos critérios de seleção do fornecedor. </w:t>
      </w:r>
    </w:p>
    <w:p>
      <w:pPr>
        <w:pStyle w:val="39"/>
        <w:spacing w:before="120" w:after="120" w:line="276" w:lineRule="auto"/>
        <w:ind w:left="785"/>
        <w:jc w:val="both"/>
        <w:rPr>
          <w:rFonts w:hint="default" w:ascii="Calibri" w:hAnsi="Calibri" w:cs="Calibri"/>
          <w:i/>
          <w:color w:val="FF0000"/>
          <w:sz w:val="20"/>
          <w:szCs w:val="20"/>
        </w:rPr>
      </w:pPr>
    </w:p>
    <w:p>
      <w:pPr>
        <w:pStyle w:val="39"/>
        <w:numPr>
          <w:ilvl w:val="1"/>
          <w:numId w:val="1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O fornecedor será selecionado por meio da realização de procedimento de dispensa de licitação, com fundamento na hipótese do art. 75, inciso ........., da Lei n.º 14.133/2021 </w:t>
      </w:r>
      <w:r>
        <w:rPr>
          <w:rFonts w:hint="default" w:ascii="Calibri" w:hAnsi="Calibri" w:cs="Calibri"/>
          <w:i/>
          <w:iCs/>
          <w:color w:val="FF0000"/>
          <w:sz w:val="20"/>
          <w:szCs w:val="20"/>
        </w:rPr>
        <w:t xml:space="preserve">(indicar um dos incisos do art. 75, da Lei n.º 14.133/2021, conforme o caso concreto). </w:t>
      </w:r>
    </w:p>
    <w:p>
      <w:pPr>
        <w:pStyle w:val="45"/>
        <w:spacing w:before="0" w:after="0"/>
        <w:rPr>
          <w:rFonts w:hint="default" w:ascii="Calibri" w:hAnsi="Calibri" w:cs="Calibri"/>
          <w:i/>
          <w:color w:val="FF0000"/>
          <w:sz w:val="20"/>
          <w:szCs w:val="20"/>
        </w:rPr>
      </w:pPr>
    </w:p>
    <w:p>
      <w:pPr>
        <w:pStyle w:val="45"/>
        <w:spacing w:before="0" w:after="0"/>
        <w:rPr>
          <w:rFonts w:hint="default" w:ascii="Calibri" w:hAnsi="Calibri" w:cs="Calibri"/>
          <w:b/>
          <w:i/>
          <w:color w:val="FF0000"/>
          <w:sz w:val="20"/>
          <w:szCs w:val="20"/>
          <w:u w:val="single"/>
        </w:rPr>
      </w:pPr>
      <w:r>
        <w:rPr>
          <w:rFonts w:hint="default" w:ascii="Calibri" w:hAnsi="Calibri" w:cs="Calibri"/>
          <w:b/>
          <w:i/>
          <w:color w:val="FF0000"/>
          <w:sz w:val="20"/>
          <w:szCs w:val="20"/>
          <w:u w:val="single"/>
        </w:rPr>
        <w:t xml:space="preserve">OU </w:t>
      </w:r>
    </w:p>
    <w:p>
      <w:pPr>
        <w:pStyle w:val="45"/>
        <w:spacing w:before="0" w:after="0"/>
        <w:rPr>
          <w:rFonts w:hint="default" w:ascii="Calibri" w:hAnsi="Calibri" w:cs="Calibri"/>
          <w:i/>
          <w:color w:val="FF0000"/>
          <w:sz w:val="20"/>
          <w:szCs w:val="20"/>
        </w:rPr>
      </w:pP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O fornecedor será selecionado por meio da realização de procedimento de inexigibilidade de licitação, com fundamento na hipótese do art. 74, ........., da Lei n.º 14.133/2021 </w:t>
      </w:r>
      <w:r>
        <w:rPr>
          <w:rFonts w:hint="default" w:ascii="Calibri" w:hAnsi="Calibri" w:cs="Calibri"/>
          <w:i/>
          <w:iCs/>
          <w:color w:val="FF0000"/>
          <w:sz w:val="20"/>
          <w:szCs w:val="20"/>
        </w:rPr>
        <w:t xml:space="preserve">(indicar o caput ou um dos incisos do art. 74, da Lei n.º 14.133/2021, conforme o caso concreto). </w:t>
      </w:r>
    </w:p>
    <w:p>
      <w:pPr>
        <w:pStyle w:val="45"/>
        <w:spacing w:before="0" w:after="0"/>
        <w:rPr>
          <w:rFonts w:hint="default" w:ascii="Calibri" w:hAnsi="Calibri" w:cs="Calibri"/>
          <w:sz w:val="20"/>
          <w:szCs w:val="20"/>
        </w:rPr>
      </w:pP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pPr>
        <w:pStyle w:val="39"/>
        <w:spacing w:before="120" w:after="120" w:line="276" w:lineRule="auto"/>
        <w:ind w:left="1134"/>
        <w:jc w:val="both"/>
        <w:rPr>
          <w:rFonts w:hint="default" w:ascii="Calibri" w:hAnsi="Calibri" w:cs="Calibri"/>
          <w:i/>
          <w:iCs/>
          <w:color w:val="FF0000"/>
          <w:sz w:val="20"/>
          <w:szCs w:val="20"/>
          <w:lang w:eastAsia="ar-SA"/>
        </w:rPr>
      </w:pPr>
      <w:r>
        <w:rPr>
          <w:rFonts w:hint="default" w:ascii="Calibri" w:hAnsi="Calibri" w:cs="Calibri"/>
          <w:i/>
          <w:iCs/>
          <w:color w:val="FF0000"/>
          <w:sz w:val="20"/>
          <w:szCs w:val="20"/>
          <w:lang w:eastAsia="ar-SA"/>
        </w:rPr>
        <w:t xml:space="preserve">a) SICAF;  </w:t>
      </w:r>
    </w:p>
    <w:p>
      <w:pPr>
        <w:pStyle w:val="39"/>
        <w:spacing w:before="120" w:after="120" w:line="276" w:lineRule="auto"/>
        <w:ind w:left="1134"/>
        <w:jc w:val="both"/>
        <w:rPr>
          <w:rFonts w:hint="default" w:ascii="Calibri" w:hAnsi="Calibri" w:cs="Calibri"/>
          <w:i/>
          <w:iCs/>
          <w:color w:val="FF0000"/>
          <w:sz w:val="20"/>
          <w:szCs w:val="20"/>
          <w:lang w:eastAsia="ar-SA"/>
        </w:rPr>
      </w:pPr>
      <w:r>
        <w:rPr>
          <w:rFonts w:hint="default" w:ascii="Calibri" w:hAnsi="Calibri" w:cs="Calibri"/>
          <w:i/>
          <w:iCs/>
          <w:color w:val="FF0000"/>
          <w:sz w:val="20"/>
          <w:szCs w:val="20"/>
          <w:lang w:eastAsia="ar-SA"/>
        </w:rPr>
        <w:t>b) Cadastro Nacional de Empresas Inidôneas e Suspensas - CEIS, mantido pela Controladoria-Geral da União (</w:t>
      </w:r>
      <w:r>
        <w:rPr>
          <w:rFonts w:hint="default" w:ascii="Calibri" w:hAnsi="Calibri" w:cs="Calibri"/>
        </w:rPr>
        <w:fldChar w:fldCharType="begin"/>
      </w:r>
      <w:r>
        <w:rPr>
          <w:rFonts w:hint="default" w:ascii="Calibri" w:hAnsi="Calibri" w:cs="Calibri"/>
        </w:rPr>
        <w:instrText xml:space="preserve"> HYPERLINK "http://www.portaldatransparencia.gov.br/ceis" </w:instrText>
      </w:r>
      <w:r>
        <w:rPr>
          <w:rFonts w:hint="default" w:ascii="Calibri" w:hAnsi="Calibri" w:cs="Calibri"/>
        </w:rPr>
        <w:fldChar w:fldCharType="separate"/>
      </w:r>
      <w:r>
        <w:rPr>
          <w:rStyle w:val="8"/>
          <w:rFonts w:hint="default" w:ascii="Calibri" w:hAnsi="Calibri" w:cs="Calibri"/>
          <w:i/>
          <w:iCs/>
          <w:color w:val="FF0000"/>
          <w:sz w:val="20"/>
          <w:szCs w:val="20"/>
          <w:lang w:eastAsia="ar-SA"/>
        </w:rPr>
        <w:t>www.portaldatransparencia.gov.br/ceis</w:t>
      </w:r>
      <w:r>
        <w:rPr>
          <w:rStyle w:val="8"/>
          <w:rFonts w:hint="default" w:ascii="Calibri" w:hAnsi="Calibri" w:cs="Calibri"/>
          <w:i/>
          <w:iCs/>
          <w:color w:val="FF0000"/>
          <w:sz w:val="20"/>
          <w:szCs w:val="20"/>
          <w:lang w:eastAsia="ar-SA"/>
        </w:rPr>
        <w:fldChar w:fldCharType="end"/>
      </w:r>
      <w:r>
        <w:rPr>
          <w:rFonts w:hint="default" w:ascii="Calibri" w:hAnsi="Calibri" w:cs="Calibri"/>
          <w:i/>
          <w:iCs/>
          <w:color w:val="FF0000"/>
          <w:sz w:val="20"/>
          <w:szCs w:val="20"/>
          <w:lang w:eastAsia="ar-SA"/>
        </w:rPr>
        <w:t>); e</w:t>
      </w:r>
    </w:p>
    <w:p>
      <w:pPr>
        <w:pStyle w:val="39"/>
        <w:spacing w:before="120" w:after="120" w:line="276" w:lineRule="auto"/>
        <w:ind w:left="1134"/>
        <w:jc w:val="both"/>
        <w:rPr>
          <w:rFonts w:hint="default" w:ascii="Calibri" w:hAnsi="Calibri" w:cs="Calibri"/>
          <w:i/>
          <w:iCs/>
          <w:color w:val="FF0000"/>
          <w:sz w:val="20"/>
          <w:szCs w:val="20"/>
        </w:rPr>
      </w:pPr>
      <w:r>
        <w:rPr>
          <w:rFonts w:hint="default" w:ascii="Calibri" w:hAnsi="Calibri" w:cs="Calibri"/>
          <w:i/>
          <w:iCs/>
          <w:color w:val="FF0000"/>
          <w:sz w:val="20"/>
          <w:szCs w:val="20"/>
          <w:lang w:eastAsia="ar-SA"/>
        </w:rPr>
        <w:t>c) Cadastro Nacional de Empresas Punidas – CNEP, mantido pela Controladoria-Geral da União (</w:t>
      </w:r>
      <w:r>
        <w:rPr>
          <w:rFonts w:hint="default" w:ascii="Calibri" w:hAnsi="Calibri" w:cs="Calibri"/>
        </w:rPr>
        <w:fldChar w:fldCharType="begin"/>
      </w:r>
      <w:r>
        <w:rPr>
          <w:rFonts w:hint="default" w:ascii="Calibri" w:hAnsi="Calibri" w:cs="Calibri"/>
        </w:rPr>
        <w:instrText xml:space="preserve"> HYPERLINK "https://www.portaltransparencia.gov.br/sancoes/cnep" </w:instrText>
      </w:r>
      <w:r>
        <w:rPr>
          <w:rFonts w:hint="default" w:ascii="Calibri" w:hAnsi="Calibri" w:cs="Calibri"/>
        </w:rPr>
        <w:fldChar w:fldCharType="separate"/>
      </w:r>
      <w:r>
        <w:rPr>
          <w:rStyle w:val="8"/>
          <w:rFonts w:hint="default" w:ascii="Calibri" w:hAnsi="Calibri" w:cs="Calibri"/>
          <w:i/>
          <w:iCs/>
          <w:sz w:val="20"/>
          <w:szCs w:val="20"/>
          <w:lang w:eastAsia="ar-SA"/>
        </w:rPr>
        <w:t>https://www.portaltransparencia.gov.br/sancoes/cnep</w:t>
      </w:r>
      <w:r>
        <w:rPr>
          <w:rStyle w:val="8"/>
          <w:rFonts w:hint="default" w:ascii="Calibri" w:hAnsi="Calibri" w:cs="Calibri"/>
          <w:i/>
          <w:iCs/>
          <w:sz w:val="20"/>
          <w:szCs w:val="20"/>
          <w:lang w:eastAsia="ar-SA"/>
        </w:rPr>
        <w:fldChar w:fldCharType="end"/>
      </w:r>
      <w:r>
        <w:rPr>
          <w:rFonts w:hint="default" w:ascii="Calibri" w:hAnsi="Calibri" w:cs="Calibri"/>
          <w:i/>
          <w:iCs/>
          <w:color w:val="FF0000"/>
          <w:sz w:val="20"/>
          <w:szCs w:val="20"/>
          <w:lang w:eastAsia="ar-SA"/>
        </w:rPr>
        <w:t>)</w:t>
      </w:r>
    </w:p>
    <w:p>
      <w:pPr>
        <w:pStyle w:val="47"/>
        <w:spacing w:line="276" w:lineRule="auto"/>
        <w:rPr>
          <w:rFonts w:hint="default" w:ascii="Calibri" w:hAnsi="Calibri" w:cs="Calibri"/>
        </w:rPr>
      </w:pPr>
      <w:r>
        <w:rPr>
          <w:rFonts w:hint="default" w:ascii="Calibri" w:hAnsi="Calibri" w:cs="Calibri"/>
          <w:b/>
          <w:bCs/>
        </w:rPr>
        <w:t>Nota explicativa</w:t>
      </w:r>
      <w:r>
        <w:rPr>
          <w:rFonts w:hint="default" w:ascii="Calibri" w:hAnsi="Calibri" w:cs="Calibri"/>
          <w:b/>
        </w:rPr>
        <w:t>:</w:t>
      </w:r>
      <w:r>
        <w:rPr>
          <w:rFonts w:hint="default" w:ascii="Calibri" w:hAnsi="Calibri" w:cs="Calibri"/>
        </w:rPr>
        <w:t xml:space="preserve"> 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A tentativa de burla será verificada por meio dos vínculos societários, linhas de fornecimento similares, dentre outros.</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O fornecedor será convocado para manifestação previamente a uma eventual negativa de contratação.</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Caso atendidas as condições para contratação, a habilitação do fornecedor será verificada por meio do SICAF, nos documentos por ele abrangidos.</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É dever do fornecedor manter atualizada a respectiva documentação constante do SICAF, ou encaminhar, quando solicitado pela Administração, a respectiva documentação atualizada.</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Não serão aceitos documentos de habilitação com indicação de CNPJ/CPF diferentes, salvo aqueles legalmente permitidos.</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Serão aceitos registros de CNPJ de fornecedor matriz e filial com diferenças de números de documentos pertinentes ao CND e ao CRF/FGTS, quando for comprovada a centralização do recolhimento dessas contribuições.</w:t>
      </w:r>
    </w:p>
    <w:p>
      <w:pPr>
        <w:pStyle w:val="39"/>
        <w:numPr>
          <w:ilvl w:val="1"/>
          <w:numId w:val="1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Para fins de contratação, deverá o fornecedor comprovar os seguintes requisitos de habilitação:</w:t>
      </w:r>
    </w:p>
    <w:p>
      <w:pPr>
        <w:pStyle w:val="39"/>
        <w:numPr>
          <w:ilvl w:val="1"/>
          <w:numId w:val="19"/>
        </w:numPr>
        <w:spacing w:after="0" w:line="276" w:lineRule="auto"/>
        <w:jc w:val="both"/>
        <w:rPr>
          <w:rFonts w:hint="default" w:ascii="Calibri" w:hAnsi="Calibri" w:cs="Calibri"/>
          <w:b/>
          <w:i/>
          <w:iCs/>
          <w:color w:val="FF0000"/>
          <w:sz w:val="20"/>
          <w:szCs w:val="20"/>
        </w:rPr>
      </w:pPr>
      <w:r>
        <w:rPr>
          <w:rFonts w:hint="default" w:ascii="Calibri" w:hAnsi="Calibri" w:cs="Calibri"/>
          <w:b/>
          <w:i/>
          <w:iCs/>
          <w:color w:val="FF0000"/>
          <w:sz w:val="20"/>
          <w:szCs w:val="20"/>
        </w:rPr>
        <w:t>Habilitação Jurídica</w:t>
      </w:r>
      <w:r>
        <w:rPr>
          <w:rFonts w:hint="default" w:ascii="Calibri" w:hAnsi="Calibri" w:cs="Calibri"/>
          <w:b/>
          <w:bCs/>
          <w:i/>
          <w:iCs/>
          <w:color w:val="FF0000"/>
          <w:sz w:val="20"/>
          <w:szCs w:val="20"/>
        </w:rPr>
        <w:t xml:space="preserve">: </w:t>
      </w:r>
    </w:p>
    <w:p>
      <w:pPr>
        <w:pStyle w:val="42"/>
        <w:spacing w:after="120"/>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Os requisitos de habilitação jurídica deverão ser exigidos em conformidade com a natureza da futura contratada (empresário individual, sociedade empresária, cooperativa etc.), razão pela qual deverá ser adotada, a depender do caso, apenas a redação correspondente, dentre aquelas constantes a seguir: </w:t>
      </w:r>
    </w:p>
    <w:p>
      <w:pPr>
        <w:pStyle w:val="39"/>
        <w:numPr>
          <w:ilvl w:val="2"/>
          <w:numId w:val="20"/>
        </w:numPr>
        <w:spacing w:after="0" w:line="276" w:lineRule="auto"/>
        <w:jc w:val="both"/>
        <w:rPr>
          <w:rFonts w:hint="default" w:ascii="Calibri" w:hAnsi="Calibri" w:cs="Calibri"/>
          <w:sz w:val="20"/>
          <w:szCs w:val="20"/>
        </w:rPr>
      </w:pPr>
      <w:r>
        <w:rPr>
          <w:rFonts w:hint="default" w:ascii="Calibri" w:hAnsi="Calibri" w:cs="Calibri"/>
          <w:b/>
          <w:i/>
          <w:color w:val="FF0000"/>
          <w:sz w:val="20"/>
          <w:szCs w:val="20"/>
        </w:rPr>
        <w:t>Pessoa física:</w:t>
      </w:r>
      <w:r>
        <w:rPr>
          <w:rFonts w:hint="default" w:ascii="Calibri" w:hAnsi="Calibri" w:cs="Calibri"/>
          <w:i/>
          <w:color w:val="FF0000"/>
          <w:sz w:val="20"/>
          <w:szCs w:val="20"/>
        </w:rPr>
        <w:t xml:space="preserve"> cédula de identidade (RG) ou documento equivalente que, por força de lei, tenha validade para </w:t>
      </w:r>
      <w:r>
        <w:rPr>
          <w:rFonts w:hint="default" w:ascii="Calibri" w:hAnsi="Calibri" w:cs="Calibri"/>
          <w:b/>
          <w:i/>
          <w:iCs/>
          <w:color w:val="FF0000"/>
          <w:sz w:val="20"/>
          <w:szCs w:val="20"/>
        </w:rPr>
        <w:t>fins</w:t>
      </w:r>
      <w:r>
        <w:rPr>
          <w:rFonts w:hint="default" w:ascii="Calibri" w:hAnsi="Calibri" w:cs="Calibri"/>
          <w:i/>
          <w:color w:val="FF0000"/>
          <w:sz w:val="20"/>
          <w:szCs w:val="20"/>
        </w:rPr>
        <w:t xml:space="preserve"> de identificação em todo o território nacional;  </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b/>
          <w:i/>
          <w:iCs/>
          <w:color w:val="000000"/>
          <w:sz w:val="20"/>
          <w:szCs w:val="20"/>
        </w:rPr>
        <w:t>Nota Explicativa:</w:t>
      </w:r>
      <w:r>
        <w:rPr>
          <w:rFonts w:hint="default" w:ascii="Calibri" w:hAnsi="Calibri" w:cs="Calibri"/>
          <w:i/>
          <w:iCs/>
          <w:color w:val="000000"/>
          <w:sz w:val="20"/>
          <w:szCs w:val="20"/>
        </w:rPr>
        <w:t xml:space="preserve"> A Instrução Normativa SEGES/ME nº 116, de 21 de dezembro de 2021, estabelece procedimentos para a participação de pessoa física nas contratações públicas regidas pela Lei nº 14.133/2021,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i/>
          <w:iCs/>
          <w:color w:val="000000"/>
          <w:sz w:val="20"/>
          <w:szCs w:val="20"/>
        </w:rPr>
        <w:t xml:space="preserve">A IN SEGES/ME nº 116/2021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rFonts w:hint="default" w:ascii="Calibri" w:hAnsi="Calibri" w:cs="Calibri"/>
          <w:b/>
          <w:i/>
          <w:iCs/>
          <w:color w:val="000000"/>
          <w:sz w:val="20"/>
          <w:szCs w:val="20"/>
        </w:rPr>
        <w:t>capital social mínimo</w:t>
      </w:r>
      <w:r>
        <w:rPr>
          <w:rFonts w:hint="default" w:ascii="Calibri" w:hAnsi="Calibri" w:cs="Calibri"/>
          <w:i/>
          <w:iCs/>
          <w:color w:val="000000"/>
          <w:sz w:val="20"/>
          <w:szCs w:val="20"/>
        </w:rPr>
        <w:t xml:space="preserve"> e </w:t>
      </w:r>
      <w:r>
        <w:rPr>
          <w:rFonts w:hint="default" w:ascii="Calibri" w:hAnsi="Calibri" w:cs="Calibri"/>
          <w:b/>
          <w:i/>
          <w:iCs/>
          <w:color w:val="000000"/>
          <w:sz w:val="20"/>
          <w:szCs w:val="20"/>
        </w:rPr>
        <w:t>estrutura mínima</w:t>
      </w:r>
      <w:r>
        <w:rPr>
          <w:rFonts w:hint="default" w:ascii="Calibri" w:hAnsi="Calibri" w:cs="Calibri"/>
          <w:i/>
          <w:iCs/>
          <w:color w:val="000000"/>
          <w:sz w:val="20"/>
          <w:szCs w:val="20"/>
        </w:rPr>
        <w:t xml:space="preserve">, com equipamentos, instalações e equipe de profissionais ou corpo técnico para a execução do objeto </w:t>
      </w:r>
      <w:r>
        <w:rPr>
          <w:rFonts w:hint="default" w:ascii="Calibri" w:hAnsi="Calibri" w:cs="Calibri"/>
          <w:b/>
          <w:i/>
          <w:iCs/>
          <w:color w:val="000000"/>
          <w:sz w:val="20"/>
          <w:szCs w:val="20"/>
        </w:rPr>
        <w:t>incompatíveis com a natureza profissional da pessoa física</w:t>
      </w:r>
      <w:r>
        <w:rPr>
          <w:rFonts w:hint="default" w:ascii="Calibri" w:hAnsi="Calibri" w:cs="Calibri"/>
          <w:i/>
          <w:iCs/>
          <w:color w:val="000000"/>
          <w:sz w:val="20"/>
          <w:szCs w:val="20"/>
        </w:rPr>
        <w:t xml:space="preserve">, conforme </w:t>
      </w:r>
      <w:r>
        <w:rPr>
          <w:rFonts w:hint="default" w:ascii="Calibri" w:hAnsi="Calibri" w:cs="Calibri"/>
          <w:b/>
          <w:i/>
          <w:iCs/>
          <w:color w:val="000000"/>
          <w:sz w:val="20"/>
          <w:szCs w:val="20"/>
        </w:rPr>
        <w:t>demonstrado em estudo técnico preliminar</w:t>
      </w:r>
      <w:r>
        <w:rPr>
          <w:rFonts w:hint="default" w:ascii="Calibri" w:hAnsi="Calibri" w:cs="Calibri"/>
          <w:i/>
          <w:iCs/>
          <w:color w:val="000000"/>
          <w:sz w:val="20"/>
          <w:szCs w:val="20"/>
        </w:rPr>
        <w:t xml:space="preserve">”. Portanto, a possibilidade, ou não, de contratação de pessoas físicas deverá ser objeto de prévia análise e manifestação técnica por parte do órgão contratante, na fase de planejamento da contratação.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p>
    <w:p>
      <w:pPr>
        <w:pStyle w:val="39"/>
        <w:numPr>
          <w:ilvl w:val="2"/>
          <w:numId w:val="21"/>
        </w:numPr>
        <w:spacing w:after="0" w:line="276" w:lineRule="auto"/>
        <w:jc w:val="both"/>
        <w:rPr>
          <w:rFonts w:hint="default" w:ascii="Calibri" w:hAnsi="Calibri" w:cs="Calibri"/>
          <w:i/>
          <w:iCs/>
          <w:color w:val="FF0000"/>
          <w:sz w:val="20"/>
          <w:szCs w:val="20"/>
        </w:rPr>
      </w:pPr>
      <w:r>
        <w:rPr>
          <w:rFonts w:hint="default" w:ascii="Calibri" w:hAnsi="Calibri" w:cs="Calibri"/>
          <w:b/>
          <w:bCs/>
          <w:i/>
          <w:iCs/>
          <w:color w:val="FF0000"/>
          <w:sz w:val="20"/>
          <w:szCs w:val="20"/>
        </w:rPr>
        <w:t>Empresário individual</w:t>
      </w:r>
      <w:r>
        <w:rPr>
          <w:rFonts w:hint="default" w:ascii="Calibri" w:hAnsi="Calibri" w:cs="Calibri"/>
          <w:i/>
          <w:iCs/>
          <w:color w:val="FF0000"/>
          <w:sz w:val="20"/>
          <w:szCs w:val="20"/>
        </w:rPr>
        <w:t xml:space="preserve">: inscrição no Registro Público de Empresas Mercantis, a cargo da Junta Comercial da respectiva sede;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numPr>
          <w:ilvl w:val="2"/>
          <w:numId w:val="22"/>
        </w:numPr>
        <w:spacing w:after="0" w:line="276" w:lineRule="auto"/>
        <w:jc w:val="both"/>
        <w:rPr>
          <w:rFonts w:hint="default" w:ascii="Calibri" w:hAnsi="Calibri" w:cs="Calibri"/>
          <w:i/>
          <w:iCs/>
          <w:color w:val="FF0000"/>
          <w:sz w:val="20"/>
          <w:szCs w:val="20"/>
        </w:rPr>
      </w:pPr>
      <w:r>
        <w:rPr>
          <w:rFonts w:hint="default" w:ascii="Calibri" w:hAnsi="Calibri" w:cs="Calibri"/>
          <w:b/>
          <w:bCs/>
          <w:i/>
          <w:iCs/>
          <w:color w:val="FF0000"/>
          <w:sz w:val="20"/>
          <w:szCs w:val="20"/>
        </w:rPr>
        <w:t>Microempreendedor Individual - MEI</w:t>
      </w:r>
      <w:r>
        <w:rPr>
          <w:rFonts w:hint="default" w:ascii="Calibri" w:hAnsi="Calibri" w:cs="Calibri"/>
          <w:i/>
          <w:iCs/>
          <w:color w:val="FF0000"/>
          <w:sz w:val="20"/>
          <w:szCs w:val="20"/>
        </w:rPr>
        <w:t xml:space="preserve">: Certificado da Condição de Microempreendedor Individual - CCMEI, cuja aceitação ficará condicionada à verificação da autenticidade no sítio </w:t>
      </w:r>
      <w:r>
        <w:rPr>
          <w:rFonts w:hint="default" w:ascii="Calibri" w:hAnsi="Calibri" w:cs="Calibri"/>
        </w:rPr>
        <w:fldChar w:fldCharType="begin"/>
      </w:r>
      <w:r>
        <w:rPr>
          <w:rFonts w:hint="default" w:ascii="Calibri" w:hAnsi="Calibri" w:cs="Calibri"/>
        </w:rPr>
        <w:instrText xml:space="preserve"> HYPERLINK "http://www.portaldoempreendedor.gov.br/" \h </w:instrText>
      </w:r>
      <w:r>
        <w:rPr>
          <w:rFonts w:hint="default" w:ascii="Calibri" w:hAnsi="Calibri" w:cs="Calibri"/>
        </w:rPr>
        <w:fldChar w:fldCharType="separate"/>
      </w:r>
      <w:r>
        <w:rPr>
          <w:rFonts w:hint="default" w:ascii="Calibri" w:hAnsi="Calibri" w:cs="Calibri"/>
          <w:i/>
          <w:iCs/>
          <w:color w:val="FF0000"/>
          <w:sz w:val="20"/>
          <w:szCs w:val="20"/>
          <w:u w:val="single"/>
        </w:rPr>
        <w:t>www.portaldoempreendedor.gov.br</w:t>
      </w:r>
      <w:r>
        <w:rPr>
          <w:rFonts w:hint="default" w:ascii="Calibri" w:hAnsi="Calibri" w:cs="Calibri"/>
          <w:i/>
          <w:iCs/>
          <w:color w:val="FF0000"/>
          <w:sz w:val="20"/>
          <w:szCs w:val="20"/>
          <w:u w:val="single"/>
        </w:rPr>
        <w:fldChar w:fldCharType="end"/>
      </w:r>
      <w:r>
        <w:rPr>
          <w:rFonts w:hint="default" w:ascii="Calibri" w:hAnsi="Calibri" w:cs="Calibri"/>
          <w:i/>
          <w:iCs/>
          <w:color w:val="FF0000"/>
          <w:sz w:val="20"/>
          <w:szCs w:val="20"/>
        </w:rPr>
        <w:t xml:space="preserve">;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numPr>
          <w:ilvl w:val="2"/>
          <w:numId w:val="23"/>
        </w:numPr>
        <w:spacing w:after="0" w:line="276" w:lineRule="auto"/>
        <w:jc w:val="both"/>
        <w:rPr>
          <w:rFonts w:hint="default" w:ascii="Calibri" w:hAnsi="Calibri" w:cs="Calibri"/>
          <w:i/>
          <w:iCs/>
          <w:color w:val="FF0000"/>
          <w:sz w:val="20"/>
          <w:szCs w:val="20"/>
        </w:rPr>
      </w:pPr>
      <w:r>
        <w:rPr>
          <w:rFonts w:hint="default" w:ascii="Calibri" w:hAnsi="Calibri" w:cs="Calibri"/>
          <w:b/>
          <w:bCs/>
          <w:i/>
          <w:iCs/>
          <w:color w:val="FF0000"/>
          <w:sz w:val="20"/>
          <w:szCs w:val="20"/>
        </w:rPr>
        <w:t>Sociedade empresária, sociedade limitada unipessoal – SLU ou sociedade identificada como empresa individual de responsabilidade limitada - EIRELI</w:t>
      </w:r>
      <w:r>
        <w:rPr>
          <w:rFonts w:hint="default" w:ascii="Calibri" w:hAnsi="Calibri" w:cs="Calibri"/>
          <w:i/>
          <w:iCs/>
          <w:color w:val="FF0000"/>
          <w:sz w:val="20"/>
          <w:szCs w:val="20"/>
        </w:rPr>
        <w:t>: inscrição do ato constitutivo, estatuto ou contrato social no Registro Público de Empresas Mercantis, a cargo da Junta Comercial da respectiva sede, acompanhada de documento comprobatório de seus administradores;</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i/>
          <w:iCs/>
          <w:color w:val="000000"/>
          <w:sz w:val="20"/>
          <w:szCs w:val="20"/>
        </w:rPr>
      </w:pPr>
      <w:r>
        <w:rPr>
          <w:rFonts w:hint="default" w:ascii="Calibri" w:hAnsi="Calibri" w:cs="Calibri"/>
          <w:b/>
          <w:i/>
          <w:iCs/>
          <w:color w:val="000000"/>
          <w:sz w:val="20"/>
          <w:szCs w:val="20"/>
        </w:rPr>
        <w:t>Nota Explicativa</w:t>
      </w:r>
      <w:r>
        <w:rPr>
          <w:rFonts w:hint="default" w:ascii="Calibri" w:hAnsi="Calibri" w:cs="Calibri"/>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Pr>
          <w:rFonts w:hint="default" w:ascii="Calibri" w:hAnsi="Calibri" w:cs="Calibri"/>
          <w:sz w:val="20"/>
          <w:szCs w:val="20"/>
        </w:rPr>
        <w:t xml:space="preserve"> </w:t>
      </w:r>
      <w:r>
        <w:rPr>
          <w:rFonts w:hint="default" w:ascii="Calibri" w:hAnsi="Calibri" w:cs="Calibri"/>
          <w:i/>
          <w:iCs/>
          <w:color w:val="000000"/>
          <w:sz w:val="20"/>
          <w:szCs w:val="20"/>
        </w:rPr>
        <w:t xml:space="preserve">inciso VI do art. 44 e do art. 980-A e seus parágrafos, todos do Código Civil, que tratavam da   EIRELI, conforme </w:t>
      </w:r>
      <w:r>
        <w:rPr>
          <w:rFonts w:hint="default" w:ascii="Calibri" w:hAnsi="Calibri" w:cs="Calibri"/>
          <w:i/>
          <w:iCs/>
          <w:sz w:val="20"/>
          <w:szCs w:val="20"/>
        </w:rPr>
        <w:t>Ofício Circular</w:t>
      </w:r>
      <w:r>
        <w:rPr>
          <w:rFonts w:hint="default" w:ascii="Calibri" w:hAnsi="Calibri" w:cs="Calibri"/>
          <w:i/>
          <w:iCs/>
          <w:color w:val="000000"/>
          <w:sz w:val="20"/>
          <w:szCs w:val="20"/>
        </w:rPr>
        <w:t xml:space="preserve"> SEI nº 3510/2021/ME, 9 de setembro de 2021, disponível no endereço eletrônico: https://www.gov.br/economia/pt-br/assuntos/drei/legislacao/oficios-circulares-drei. Posteriormente, a Medida Provisória n.º 1.085, de 2021, revogou expressamente as disposições sobre EIRELI constantes do Código Civil, porém, no momento da edição deste modelo, referida Medida Provisória se encontra pendente de conversão em lei.</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numPr>
          <w:ilvl w:val="2"/>
          <w:numId w:val="24"/>
        </w:numPr>
        <w:spacing w:after="0" w:line="276" w:lineRule="auto"/>
        <w:jc w:val="both"/>
        <w:rPr>
          <w:rFonts w:hint="default" w:ascii="Calibri" w:hAnsi="Calibri" w:cs="Calibri"/>
          <w:i/>
          <w:iCs/>
          <w:color w:val="FF0000"/>
          <w:sz w:val="20"/>
          <w:szCs w:val="20"/>
        </w:rPr>
      </w:pPr>
      <w:r>
        <w:rPr>
          <w:rFonts w:hint="default" w:ascii="Calibri" w:hAnsi="Calibri" w:cs="Calibri"/>
          <w:b/>
          <w:bCs/>
          <w:i/>
          <w:iCs/>
          <w:color w:val="FF0000"/>
          <w:sz w:val="20"/>
          <w:szCs w:val="20"/>
        </w:rPr>
        <w:t>Sociedade empresária estrangeira com atuação permanente no País</w:t>
      </w:r>
      <w:r>
        <w:rPr>
          <w:rFonts w:hint="default" w:ascii="Calibri" w:hAnsi="Calibri" w:cs="Calibri"/>
          <w:i/>
          <w:iCs/>
          <w:color w:val="FF0000"/>
          <w:sz w:val="20"/>
          <w:szCs w:val="20"/>
        </w:rPr>
        <w:t>: decreto de autorização para funcionamento no Brasil;</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numPr>
          <w:ilvl w:val="2"/>
          <w:numId w:val="25"/>
        </w:numPr>
        <w:spacing w:after="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simples</w:t>
      </w:r>
      <w:r>
        <w:rPr>
          <w:rFonts w:hint="default" w:ascii="Calibri" w:hAnsi="Calibri" w:cs="Calibri"/>
          <w:i/>
          <w:color w:val="FF0000"/>
          <w:sz w:val="20"/>
          <w:szCs w:val="20"/>
        </w:rPr>
        <w:t>: inscrição do ato constitutivo no Registro Civil de Pessoas Jurídicas do local de sua sede, acompanhada de documento comprobatório de seus administradores;</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numPr>
          <w:ilvl w:val="2"/>
          <w:numId w:val="26"/>
        </w:numPr>
        <w:spacing w:after="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Filial, sucursal ou agência</w:t>
      </w:r>
      <w:r>
        <w:rPr>
          <w:rFonts w:hint="default" w:ascii="Calibri" w:hAnsi="Calibri" w:cs="Calibri"/>
          <w:i/>
          <w:color w:val="FF0000"/>
          <w:sz w:val="20"/>
          <w:szCs w:val="20"/>
        </w:rPr>
        <w:t xml:space="preserve"> </w:t>
      </w:r>
      <w:r>
        <w:rPr>
          <w:rFonts w:hint="default" w:ascii="Calibri" w:hAnsi="Calibri" w:cs="Calibri"/>
          <w:b/>
          <w:i/>
          <w:color w:val="FF0000"/>
          <w:sz w:val="20"/>
          <w:szCs w:val="20"/>
        </w:rPr>
        <w:t>de sociedade simples ou empresária</w:t>
      </w:r>
      <w:r>
        <w:rPr>
          <w:rFonts w:hint="default" w:ascii="Calibri" w:hAnsi="Calibri" w:cs="Calibri"/>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rPr>
      </w:pPr>
    </w:p>
    <w:p>
      <w:pPr>
        <w:pStyle w:val="39"/>
        <w:numPr>
          <w:ilvl w:val="2"/>
          <w:numId w:val="26"/>
        </w:numPr>
        <w:spacing w:after="0" w:line="276" w:lineRule="auto"/>
        <w:jc w:val="both"/>
        <w:rPr>
          <w:rFonts w:hint="default" w:ascii="Calibri" w:hAnsi="Calibri" w:cs="Calibri"/>
          <w:i/>
          <w:color w:val="FF0000"/>
          <w:sz w:val="20"/>
          <w:szCs w:val="20"/>
        </w:rPr>
      </w:pPr>
      <w:r>
        <w:rPr>
          <w:rFonts w:hint="default" w:ascii="Calibri" w:hAnsi="Calibri" w:cs="Calibri"/>
          <w:b/>
          <w:i/>
          <w:iCs/>
          <w:color w:val="FF0000"/>
          <w:sz w:val="20"/>
          <w:szCs w:val="20"/>
        </w:rPr>
        <w:t xml:space="preserve">Ato </w:t>
      </w:r>
      <w:r>
        <w:rPr>
          <w:rFonts w:hint="default" w:ascii="Calibri" w:hAnsi="Calibri" w:cs="Calibri"/>
          <w:b/>
          <w:i/>
          <w:color w:val="FF0000"/>
          <w:sz w:val="20"/>
          <w:szCs w:val="20"/>
        </w:rPr>
        <w:t>de</w:t>
      </w:r>
      <w:r>
        <w:rPr>
          <w:rFonts w:hint="default" w:ascii="Calibri" w:hAnsi="Calibri" w:cs="Calibri"/>
          <w:b/>
          <w:i/>
          <w:iCs/>
          <w:color w:val="FF0000"/>
          <w:sz w:val="20"/>
          <w:szCs w:val="20"/>
        </w:rPr>
        <w:t xml:space="preserve"> autorização</w:t>
      </w:r>
      <w:r>
        <w:rPr>
          <w:rFonts w:hint="default" w:ascii="Calibri" w:hAnsi="Calibri" w:cs="Calibri"/>
          <w:i/>
          <w:iCs/>
          <w:color w:val="FF0000"/>
          <w:sz w:val="20"/>
          <w:szCs w:val="20"/>
        </w:rPr>
        <w:t xml:space="preserve"> para o exercício da atividade de ............ (especificar a atividade contratada sujeita à </w:t>
      </w:r>
      <w:r>
        <w:rPr>
          <w:rFonts w:hint="default" w:ascii="Calibri" w:hAnsi="Calibri" w:cs="Calibri"/>
          <w:i/>
          <w:color w:val="FF0000"/>
          <w:sz w:val="20"/>
          <w:szCs w:val="20"/>
        </w:rPr>
        <w:t>autorização</w:t>
      </w:r>
      <w:r>
        <w:rPr>
          <w:rFonts w:hint="default" w:ascii="Calibri" w:hAnsi="Calibri" w:cs="Calibri"/>
          <w:i/>
          <w:iCs/>
          <w:color w:val="FF0000"/>
          <w:sz w:val="20"/>
          <w:szCs w:val="20"/>
        </w:rPr>
        <w:t>), expedido por ....... (especificar o órgão competente) nos termos do art. ..... da (Lei/Decreto) n° ........</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bCs/>
          <w:color w:val="000000"/>
          <w:sz w:val="20"/>
          <w:szCs w:val="20"/>
        </w:rPr>
      </w:pPr>
      <w:r>
        <w:rPr>
          <w:rFonts w:hint="default" w:ascii="Calibri" w:hAnsi="Calibri" w:cs="Calibri"/>
          <w:b/>
          <w:bCs/>
          <w:i/>
          <w:iCs/>
          <w:color w:val="000000"/>
          <w:sz w:val="20"/>
          <w:szCs w:val="20"/>
        </w:rPr>
        <w:t>Nota explicativa:</w:t>
      </w:r>
      <w:r>
        <w:rPr>
          <w:rFonts w:hint="default" w:ascii="Calibri" w:hAnsi="Calibri" w:cs="Calibri"/>
          <w:i/>
          <w:iCs/>
          <w:color w:val="000000"/>
          <w:sz w:val="20"/>
          <w:szCs w:val="20"/>
        </w:rPr>
        <w:t xml:space="preserve"> O último subitem tem como fundamento a parte final do disposto no art. 66 da Lei n 14.133/21.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Pr>
          <w:rFonts w:hint="default" w:ascii="Calibri" w:hAnsi="Calibri" w:cs="Calibri"/>
          <w:bCs/>
          <w:color w:val="000000"/>
          <w:sz w:val="20"/>
          <w:szCs w:val="20"/>
        </w:rPr>
        <w:t>de fogo, explosivo, munição, dentre outros.</w:t>
      </w:r>
    </w:p>
    <w:p>
      <w:pPr>
        <w:pStyle w:val="39"/>
        <w:numPr>
          <w:ilvl w:val="2"/>
          <w:numId w:val="26"/>
        </w:numPr>
        <w:spacing w:after="0" w:line="276" w:lineRule="auto"/>
        <w:jc w:val="both"/>
        <w:rPr>
          <w:rFonts w:hint="default" w:ascii="Calibri" w:hAnsi="Calibri" w:cs="Calibri"/>
          <w:i/>
          <w:color w:val="FF0000"/>
          <w:sz w:val="20"/>
          <w:szCs w:val="20"/>
        </w:rPr>
      </w:pPr>
      <w:r>
        <w:rPr>
          <w:rFonts w:hint="default" w:ascii="Calibri" w:hAnsi="Calibri" w:cs="Calibri"/>
          <w:bCs/>
          <w:i/>
          <w:iCs/>
          <w:color w:val="FF0000"/>
          <w:sz w:val="20"/>
          <w:szCs w:val="20"/>
        </w:rPr>
        <w:t xml:space="preserve">Os </w:t>
      </w:r>
      <w:r>
        <w:rPr>
          <w:rFonts w:hint="default" w:ascii="Calibri" w:hAnsi="Calibri" w:cs="Calibri"/>
          <w:i/>
          <w:iCs/>
          <w:color w:val="FF0000"/>
          <w:sz w:val="20"/>
          <w:szCs w:val="20"/>
        </w:rPr>
        <w:t>documentos</w:t>
      </w:r>
      <w:r>
        <w:rPr>
          <w:rFonts w:hint="default" w:ascii="Calibri" w:hAnsi="Calibri" w:cs="Calibri"/>
          <w:bCs/>
          <w:i/>
          <w:iCs/>
          <w:color w:val="FF0000"/>
          <w:sz w:val="20"/>
          <w:szCs w:val="20"/>
        </w:rPr>
        <w:t xml:space="preserve"> apresentados deverão estar acompanhados de todas as alterações ou da consolidação </w:t>
      </w:r>
      <w:r>
        <w:rPr>
          <w:rFonts w:hint="default" w:ascii="Calibri" w:hAnsi="Calibri" w:cs="Calibri"/>
          <w:i/>
          <w:iCs/>
          <w:color w:val="FF0000"/>
          <w:sz w:val="20"/>
          <w:szCs w:val="20"/>
        </w:rPr>
        <w:t>respectiva</w:t>
      </w:r>
      <w:r>
        <w:rPr>
          <w:rFonts w:hint="default" w:ascii="Calibri" w:hAnsi="Calibri" w:cs="Calibri"/>
          <w:bCs/>
          <w:i/>
          <w:iCs/>
          <w:color w:val="FF0000"/>
          <w:sz w:val="20"/>
          <w:szCs w:val="20"/>
        </w:rPr>
        <w:t>.</w:t>
      </w:r>
    </w:p>
    <w:p>
      <w:pPr>
        <w:pStyle w:val="39"/>
        <w:numPr>
          <w:ilvl w:val="1"/>
          <w:numId w:val="19"/>
        </w:numPr>
        <w:spacing w:after="0" w:line="276" w:lineRule="auto"/>
        <w:jc w:val="both"/>
        <w:rPr>
          <w:rFonts w:hint="default" w:ascii="Calibri" w:hAnsi="Calibri" w:cs="Calibri"/>
          <w:b/>
          <w:i/>
          <w:iCs/>
          <w:color w:val="FF0000"/>
          <w:sz w:val="20"/>
          <w:szCs w:val="20"/>
        </w:rPr>
      </w:pPr>
      <w:r>
        <w:rPr>
          <w:rFonts w:hint="default" w:ascii="Calibri" w:hAnsi="Calibri" w:cs="Calibri"/>
          <w:b/>
          <w:i/>
          <w:iCs/>
          <w:color w:val="FF0000"/>
          <w:sz w:val="20"/>
          <w:szCs w:val="20"/>
        </w:rPr>
        <w:t>Habilitações fiscal, social e trabalhista:</w:t>
      </w:r>
    </w:p>
    <w:p>
      <w:pPr>
        <w:pStyle w:val="39"/>
        <w:numPr>
          <w:ilvl w:val="2"/>
          <w:numId w:val="27"/>
        </w:numPr>
        <w:spacing w:after="0" w:line="276" w:lineRule="auto"/>
        <w:jc w:val="both"/>
        <w:rPr>
          <w:rFonts w:hint="default" w:ascii="Calibri" w:hAnsi="Calibri" w:cs="Calibri"/>
          <w:sz w:val="20"/>
          <w:szCs w:val="20"/>
        </w:rPr>
      </w:pPr>
      <w:r>
        <w:rPr>
          <w:rFonts w:hint="default" w:ascii="Calibri" w:hAnsi="Calibri" w:cs="Calibri"/>
          <w:bCs/>
          <w:i/>
          <w:iCs/>
          <w:color w:val="FF0000"/>
          <w:sz w:val="20"/>
          <w:szCs w:val="20"/>
        </w:rPr>
        <w:t>prova</w:t>
      </w:r>
      <w:r>
        <w:rPr>
          <w:rFonts w:hint="default" w:ascii="Calibri" w:hAnsi="Calibri" w:cs="Calibri"/>
          <w:i/>
          <w:iCs/>
          <w:color w:val="FF0000"/>
          <w:sz w:val="20"/>
          <w:szCs w:val="20"/>
        </w:rPr>
        <w:t xml:space="preserve"> de inscrição no Cadastro de Pessoas Físicas (CPF);</w:t>
      </w:r>
    </w:p>
    <w:p>
      <w:pPr>
        <w:pStyle w:val="39"/>
        <w:tabs>
          <w:tab w:val="left" w:pos="1440"/>
        </w:tabs>
        <w:suppressAutoHyphens/>
        <w:snapToGrid w:val="0"/>
        <w:spacing w:before="120" w:after="120" w:line="276" w:lineRule="auto"/>
        <w:ind w:left="2290"/>
        <w:jc w:val="both"/>
        <w:rPr>
          <w:rFonts w:hint="default" w:ascii="Calibri" w:hAnsi="Calibri" w:cs="Calibri"/>
          <w:sz w:val="20"/>
          <w:szCs w:val="20"/>
        </w:rPr>
      </w:pPr>
      <w:r>
        <w:rPr>
          <w:rFonts w:hint="default" w:ascii="Calibri" w:hAnsi="Calibri" w:cs="Calibri"/>
          <w:b/>
          <w:i/>
          <w:iCs/>
          <w:color w:val="FF0000"/>
          <w:sz w:val="20"/>
          <w:szCs w:val="20"/>
          <w:u w:val="single"/>
        </w:rPr>
        <w:t xml:space="preserve">OU </w:t>
      </w:r>
    </w:p>
    <w:p>
      <w:pPr>
        <w:pStyle w:val="39"/>
        <w:numPr>
          <w:ilvl w:val="2"/>
          <w:numId w:val="2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w:t>
      </w:r>
      <w:r>
        <w:rPr>
          <w:rFonts w:hint="default" w:ascii="Calibri" w:hAnsi="Calibri" w:cs="Calibri"/>
          <w:i/>
          <w:iCs/>
          <w:color w:val="FF0000"/>
          <w:sz w:val="20"/>
          <w:szCs w:val="20"/>
        </w:rPr>
        <w:t>de</w:t>
      </w:r>
      <w:r>
        <w:rPr>
          <w:rFonts w:hint="default" w:ascii="Calibri" w:hAnsi="Calibri" w:cs="Calibri"/>
          <w:i/>
          <w:color w:val="FF0000"/>
          <w:sz w:val="20"/>
          <w:szCs w:val="20"/>
        </w:rPr>
        <w:t xml:space="preserve"> inscrição no Cadastro Nacional da Pessoa Jurídica (CNPJ);</w:t>
      </w:r>
    </w:p>
    <w:p>
      <w:pPr>
        <w:pStyle w:val="39"/>
        <w:numPr>
          <w:ilvl w:val="2"/>
          <w:numId w:val="2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pStyle w:val="39"/>
        <w:numPr>
          <w:ilvl w:val="2"/>
          <w:numId w:val="2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regularidade com o Fundo de Garantia do Tempo de Serviço (FGTS);</w:t>
      </w:r>
    </w:p>
    <w:p>
      <w:pPr>
        <w:pStyle w:val="39"/>
        <w:numPr>
          <w:ilvl w:val="2"/>
          <w:numId w:val="2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declaração de que não emprega menor de 18 anos em trabalho noturno, perigoso ou insalubre e não emprega menor de 16 anos, salvo menor, a partir de 14 anos, na condição de aprendiz, nos termos do artigo 7°, XXXIII, da Constituição;</w:t>
      </w:r>
    </w:p>
    <w:p>
      <w:pPr>
        <w:pStyle w:val="39"/>
        <w:numPr>
          <w:ilvl w:val="2"/>
          <w:numId w:val="2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39"/>
        <w:numPr>
          <w:ilvl w:val="2"/>
          <w:numId w:val="2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de inscrição no cadastro de contribuintes municipal ou distrital, se houver, relativo ao domicílio ou sede do fornecedor, pertinente ao seu ramo de atividade e compatível com o objeto contratual; </w:t>
      </w:r>
    </w:p>
    <w:p>
      <w:pPr>
        <w:pStyle w:val="39"/>
        <w:numPr>
          <w:ilvl w:val="3"/>
          <w:numId w:val="2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i/>
          <w:iCs/>
          <w:color w:val="7030A0"/>
          <w:sz w:val="20"/>
          <w:szCs w:val="20"/>
        </w:rPr>
      </w:pPr>
      <w:r>
        <w:rPr>
          <w:rFonts w:hint="default" w:ascii="Calibri" w:hAnsi="Calibri" w:cs="Calibri"/>
          <w:b/>
          <w:i/>
          <w:iCs/>
          <w:sz w:val="20"/>
          <w:szCs w:val="20"/>
        </w:rPr>
        <w:t xml:space="preserve">Nota Explicativa: </w:t>
      </w:r>
      <w:r>
        <w:rPr>
          <w:rFonts w:hint="default" w:ascii="Calibri" w:hAnsi="Calibri" w:cs="Calibri"/>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pPr>
        <w:pStyle w:val="39"/>
        <w:numPr>
          <w:ilvl w:val="2"/>
          <w:numId w:val="28"/>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de regularidade com a Fazenda Municipal ou Distrital do domicílio ou sede do fornecedor, relativa à atividade em cujo exercício contrata ou concorre; </w:t>
      </w:r>
    </w:p>
    <w:p>
      <w:pPr>
        <w:pStyle w:val="39"/>
        <w:numPr>
          <w:ilvl w:val="3"/>
          <w:numId w:val="2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pPr>
        <w:pStyle w:val="42"/>
        <w:spacing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bCs/>
          <w:szCs w:val="20"/>
        </w:rPr>
        <w:t xml:space="preserve"> O artigo 193 do CTN preceitua que a </w:t>
      </w:r>
      <w:r>
        <w:rPr>
          <w:rFonts w:hint="default" w:ascii="Calibri" w:hAnsi="Calibri" w:cs="Calibri"/>
          <w:szCs w:val="20"/>
        </w:rPr>
        <w:t xml:space="preserve">prova da quitação de todos os tributos devidos dar-se-á no âmbito da </w:t>
      </w:r>
      <w:r>
        <w:rPr>
          <w:rFonts w:hint="default" w:ascii="Calibri" w:hAnsi="Calibri" w:cs="Calibri"/>
          <w:bCs/>
          <w:szCs w:val="20"/>
        </w:rPr>
        <w:t xml:space="preserve">Fazenda Pública </w:t>
      </w:r>
      <w:r>
        <w:rPr>
          <w:rFonts w:hint="default" w:ascii="Calibri" w:hAnsi="Calibri" w:cs="Calibri"/>
          <w:b/>
          <w:szCs w:val="20"/>
        </w:rPr>
        <w:t>interessada</w:t>
      </w:r>
      <w:r>
        <w:rPr>
          <w:rFonts w:hint="default" w:ascii="Calibri" w:hAnsi="Calibri" w:cs="Calibri"/>
          <w:bCs/>
          <w:szCs w:val="20"/>
        </w:rPr>
        <w:t>, “relativos à atividade em cujo exercício contrata ou concorre”. Nessa mesma linha, o art. 68, inciso II, da Lei n.º 14.133/20201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Pr>
          <w:rFonts w:hint="default" w:ascii="Calibri" w:hAnsi="Calibri" w:cs="Calibri"/>
          <w:szCs w:val="20"/>
        </w:rPr>
        <w:t xml:space="preserve"> e o </w:t>
      </w:r>
      <w:r>
        <w:rPr>
          <w:rFonts w:hint="default" w:ascii="Calibri" w:hAnsi="Calibri" w:cs="Calibri"/>
          <w:bCs/>
          <w:szCs w:val="20"/>
        </w:rPr>
        <w:t xml:space="preserve">âmbito da tributação sobre ele incidente:  tratando-se de serviços em </w:t>
      </w:r>
      <w:r>
        <w:rPr>
          <w:rFonts w:hint="default" w:ascii="Calibri" w:hAnsi="Calibri" w:cs="Calibri" w:eastAsiaTheme="minorHAnsi"/>
          <w:szCs w:val="20"/>
        </w:rPr>
        <w:t>geral, como no caso desta minuta, incide o ISS, tributo de competência municipal, ao passo que, para aquisições, incide</w:t>
      </w:r>
      <w:r>
        <w:rPr>
          <w:rFonts w:hint="default" w:ascii="Calibri" w:hAnsi="Calibri" w:cs="Calibri"/>
          <w:bCs/>
          <w:szCs w:val="20"/>
        </w:rPr>
        <w:t xml:space="preserve"> o ICMS, tributo de competência estadual.</w:t>
      </w:r>
    </w:p>
    <w:p>
      <w:pPr>
        <w:pStyle w:val="39"/>
        <w:numPr>
          <w:ilvl w:val="0"/>
          <w:numId w:val="0"/>
        </w:numPr>
        <w:spacing w:after="0" w:line="276" w:lineRule="auto"/>
        <w:ind w:leftChars="0"/>
        <w:jc w:val="both"/>
        <w:rPr>
          <w:rFonts w:hint="default" w:ascii="Calibri" w:hAnsi="Calibri" w:cs="Calibri"/>
          <w:bCs/>
          <w:i/>
          <w:iCs/>
          <w:color w:val="FF0000"/>
          <w:sz w:val="20"/>
          <w:szCs w:val="20"/>
          <w:highlight w:val="green"/>
        </w:rPr>
      </w:pPr>
    </w:p>
    <w:p>
      <w:pPr>
        <w:pStyle w:val="42"/>
        <w:spacing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szCs w:val="20"/>
        </w:rPr>
        <w:t xml:space="preserve"> Remover as previsões acima caso o fornecedor não possua natureza de sociedade cooperativa.</w:t>
      </w:r>
    </w:p>
    <w:p>
      <w:pPr>
        <w:pStyle w:val="42"/>
        <w:spacing w:line="276" w:lineRule="auto"/>
        <w:rPr>
          <w:rFonts w:hint="default" w:ascii="Calibri" w:hAnsi="Calibri" w:cs="Calibri"/>
          <w:szCs w:val="20"/>
        </w:rPr>
      </w:pPr>
      <w:r>
        <w:rPr>
          <w:rFonts w:hint="default" w:ascii="Calibri" w:hAnsi="Calibri" w:cs="Calibri"/>
          <w:b/>
          <w:color w:val="auto"/>
          <w:szCs w:val="20"/>
        </w:rPr>
        <w:t xml:space="preserve">Nota Explicativa: </w:t>
      </w:r>
      <w:r>
        <w:rPr>
          <w:rFonts w:hint="default" w:ascii="Calibri" w:hAnsi="Calibri" w:cs="Calibri"/>
          <w:bCs/>
          <w:color w:val="auto"/>
          <w:szCs w:val="20"/>
        </w:rPr>
        <w:t xml:space="preserve">Foram incluídas neste Termo de Referência as previsões referentes à habilitação </w:t>
      </w:r>
      <w:r>
        <w:rPr>
          <w:rFonts w:hint="default" w:ascii="Calibri" w:hAnsi="Calibri" w:cs="Calibri"/>
          <w:color w:val="auto"/>
          <w:szCs w:val="20"/>
        </w:rPr>
        <w:t xml:space="preserve">jurídica, </w:t>
      </w:r>
      <w:r>
        <w:rPr>
          <w:rFonts w:hint="default" w:ascii="Calibri" w:hAnsi="Calibri" w:cs="Calibri"/>
          <w:bCs/>
          <w:color w:val="auto"/>
          <w:szCs w:val="20"/>
        </w:rPr>
        <w:t>fiscal,</w:t>
      </w:r>
      <w:r>
        <w:rPr>
          <w:rFonts w:hint="default" w:ascii="Calibri" w:hAnsi="Calibri" w:cs="Calibri"/>
          <w:szCs w:val="20"/>
        </w:rPr>
        <w:t xml:space="preserve"> </w:t>
      </w:r>
      <w:r>
        <w:rPr>
          <w:rFonts w:hint="default" w:ascii="Calibri" w:hAnsi="Calibri" w:cs="Calibri"/>
          <w:bCs/>
          <w:color w:val="auto"/>
          <w:szCs w:val="20"/>
        </w:rPr>
        <w:t xml:space="preserve">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w:t>
      </w:r>
    </w:p>
    <w:p>
      <w:pPr>
        <w:pStyle w:val="42"/>
        <w:spacing w:before="240" w:after="240"/>
        <w:rPr>
          <w:rFonts w:hint="default" w:ascii="Calibri" w:hAnsi="Calibri" w:cs="Calibri"/>
          <w:szCs w:val="20"/>
        </w:rPr>
      </w:pPr>
      <w:r>
        <w:rPr>
          <w:rFonts w:hint="default" w:ascii="Calibri" w:hAnsi="Calibri" w:cs="Calibri"/>
          <w:bCs/>
          <w:color w:val="auto"/>
          <w:szCs w:val="20"/>
        </w:rPr>
        <w:t>Entretanto, se a Administração desejar incluir requisitos de habilitação econômico-financeira ou técnica, a serem fiscalizados no decorrer da execução contratual (em especial se houver requisitos de ordem legal, como registro em órgãos governamentais competentes), recomenda-se extrair os dispositivos respectivos deste modelo de Termo de Referência (habilitação técnica) e/ou do modelo de Aviso de Dispensa Eletrônica (habilitação econômico-financeira) constante do sítio eletrônico da AGU.</w:t>
      </w:r>
    </w:p>
    <w:p>
      <w:pPr>
        <w:numPr>
          <w:ilvl w:val="0"/>
          <w:numId w:val="29"/>
        </w:numPr>
        <w:shd w:val="clear" w:fill="FFFFFF" w:themeFill="background1"/>
        <w:suppressAutoHyphens/>
        <w:overflowPunct/>
        <w:ind w:left="360" w:leftChars="0" w:hanging="360" w:firstLineChars="0"/>
        <w:jc w:val="both"/>
        <w:rPr>
          <w:rFonts w:hint="default" w:ascii="Calibri" w:hAnsi="Calibri" w:cs="Calibri"/>
          <w:b/>
          <w:bCs/>
          <w:color w:val="000000" w:themeColor="text1"/>
          <w:sz w:val="20"/>
          <w:szCs w:val="20"/>
          <w:lang w:val="pt-BR"/>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CRITÉRIO DE MEDIÇÃO E PAGAMENTO</w:t>
      </w:r>
    </w:p>
    <w:p>
      <w:pPr>
        <w:numPr>
          <w:ilvl w:val="0"/>
          <w:numId w:val="0"/>
        </w:numPr>
        <w:shd w:val="clear" w:fill="FFFFFF" w:themeFill="background1"/>
        <w:suppressAutoHyphens/>
        <w:overflowPunct/>
        <w:ind w:leftChars="0"/>
        <w:jc w:val="both"/>
        <w:rPr>
          <w:rFonts w:hint="default" w:ascii="Calibri" w:hAnsi="Calibri" w:cs="Calibri"/>
          <w:b/>
          <w:bCs/>
          <w:color w:val="000000" w:themeColor="text1"/>
          <w:sz w:val="20"/>
          <w:szCs w:val="20"/>
          <w:lang w:val="pt-BR"/>
          <w14:textFill>
            <w14:solidFill>
              <w14:schemeClr w14:val="tx1"/>
            </w14:solidFill>
          </w14:textFill>
        </w:rPr>
      </w:pPr>
    </w:p>
    <w:p>
      <w:pPr>
        <w:numPr>
          <w:ilvl w:val="0"/>
          <w:numId w:val="0"/>
        </w:numPr>
        <w:shd w:val="clear" w:fill="FFFFFF" w:themeFill="background1"/>
        <w:suppressAutoHyphens/>
        <w:overflowPunct/>
        <w:ind w:leftChars="0"/>
        <w:jc w:val="both"/>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12.1.</w:t>
      </w:r>
      <w:r>
        <w:rPr>
          <w:rFonts w:hint="default" w:ascii="Calibri" w:hAnsi="Calibri" w:cs="Calibri"/>
          <w:color w:val="000000" w:themeColor="text1"/>
          <w:sz w:val="20"/>
          <w:szCs w:val="20"/>
          <w:lang w:val="pt-BR"/>
          <w14:textFill>
            <w14:solidFill>
              <w14:schemeClr w14:val="tx1"/>
            </w14:solidFill>
          </w14:textFill>
        </w:rPr>
        <w:t xml:space="preserve"> </w:t>
      </w:r>
      <w:r>
        <w:rPr>
          <w:rFonts w:hint="default" w:ascii="Calibri" w:hAnsi="Calibri" w:cs="Calibri"/>
          <w:color w:val="000000" w:themeColor="text1"/>
          <w:sz w:val="20"/>
          <w:szCs w:val="20"/>
          <w14:textFill>
            <w14:solidFill>
              <w14:schemeClr w14:val="tx1"/>
            </w14:solidFill>
          </w14:textFill>
        </w:rPr>
        <w:t>A Nota Fiscal deverá ser emitida em nome de</w:t>
      </w:r>
      <w:r>
        <w:rPr>
          <w:rFonts w:hint="default" w:ascii="Calibri" w:hAnsi="Calibri" w:cs="Calibri"/>
          <w:color w:val="000000" w:themeColor="text1"/>
          <w:sz w:val="20"/>
          <w:szCs w:val="20"/>
          <w:shd w:val="clear" w:fill="FFFFFF" w:themeFill="background1"/>
          <w14:textFill>
            <w14:solidFill>
              <w14:schemeClr w14:val="tx1"/>
            </w14:solidFill>
          </w14:textFill>
        </w:rPr>
        <w:t xml:space="preserve">: </w:t>
      </w:r>
      <w:r>
        <w:rPr>
          <w:rFonts w:hint="default" w:ascii="Calibri" w:hAnsi="Calibri" w:cs="Calibri"/>
          <w:color w:val="000000" w:themeColor="text1"/>
          <w:sz w:val="20"/>
          <w:szCs w:val="20"/>
          <w:shd w:val="clear" w:fill="FFFFFF" w:themeFill="background1"/>
          <w:lang w:val="pt-BR"/>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14:textFill>
            <w14:solidFill>
              <w14:schemeClr w14:val="tx1"/>
            </w14:solidFill>
          </w14:textFill>
        </w:rPr>
        <w:t>, CNPJ:</w:t>
      </w:r>
      <w:r>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14:textFill>
            <w14:solidFill>
              <w14:schemeClr w14:val="tx1"/>
            </w14:solidFill>
          </w14:textFill>
        </w:rPr>
        <w:t xml:space="preserve">, ENDEREÇO: </w:t>
      </w:r>
      <w:r>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14:textFill>
            <w14:solidFill>
              <w14:schemeClr w14:val="tx1"/>
            </w14:solidFill>
          </w14:textFill>
        </w:rPr>
        <w:t>.</w:t>
      </w:r>
      <w:r>
        <w:rPr>
          <w:rFonts w:hint="default" w:ascii="Calibri" w:hAnsi="Calibri" w:cs="Calibri"/>
          <w:b w:val="0"/>
          <w:bCs w:val="0"/>
          <w:color w:val="000000" w:themeColor="text1"/>
          <w:sz w:val="20"/>
          <w:szCs w:val="20"/>
          <w:shd w:val="clear" w:fill="FFFFFF" w:themeFill="background1"/>
          <w:lang w:val="pt-BR"/>
          <w14:textFill>
            <w14:solidFill>
              <w14:schemeClr w14:val="tx1"/>
            </w14:solidFill>
          </w14:textFill>
        </w:rPr>
        <w:t>......................................................................................................</w:t>
      </w:r>
    </w:p>
    <w:p>
      <w:pPr>
        <w:pStyle w:val="39"/>
        <w:widowControl w:val="0"/>
        <w:numPr>
          <w:ilvl w:val="0"/>
          <w:numId w:val="0"/>
        </w:numPr>
        <w:shd w:val="clear" w:fill="FFFFFF" w:themeFill="background1"/>
        <w:overflowPunct/>
        <w:ind w:left="0" w:leftChars="0" w:firstLine="0" w:firstLineChars="0"/>
        <w:jc w:val="both"/>
        <w:rPr>
          <w:rFonts w:hint="default" w:ascii="Calibri" w:hAnsi="Calibri" w:cs="Calibri"/>
          <w:color w:val="000000" w:themeColor="text1"/>
          <w:sz w:val="20"/>
          <w:szCs w:val="20"/>
          <w:lang w:val="pt-BR"/>
          <w14:textFill>
            <w14:solidFill>
              <w14:schemeClr w14:val="tx1"/>
            </w14:solidFill>
          </w14:textFill>
        </w:rPr>
      </w:pPr>
    </w:p>
    <w:p>
      <w:pPr>
        <w:numPr>
          <w:ilvl w:val="0"/>
          <w:numId w:val="0"/>
        </w:numPr>
        <w:suppressAutoHyphens/>
        <w:overflowPunct/>
        <w:jc w:val="both"/>
        <w:rPr>
          <w:rFonts w:ascii="Calibri" w:hAnsi="Calibri" w:cs="Calibri"/>
          <w:b w:val="0"/>
          <w:bCs w:val="0"/>
          <w:sz w:val="20"/>
          <w:szCs w:val="20"/>
          <w:lang w:val="pt-BR"/>
        </w:rPr>
      </w:pPr>
      <w:r>
        <w:rPr>
          <w:rFonts w:hint="default" w:ascii="Calibri" w:hAnsi="Calibri" w:cs="Calibri"/>
          <w:b/>
          <w:bCs/>
          <w:color w:val="000000" w:themeColor="text1"/>
          <w:sz w:val="20"/>
          <w:szCs w:val="20"/>
          <w:lang w:val="pt-BR"/>
          <w14:textFill>
            <w14:solidFill>
              <w14:schemeClr w14:val="tx1"/>
            </w14:solidFill>
          </w14:textFill>
        </w:rPr>
        <w:t>12.2.</w:t>
      </w:r>
      <w:r>
        <w:rPr>
          <w:rFonts w:hint="default" w:ascii="Calibri" w:hAnsi="Calibri" w:cs="Calibri"/>
          <w:color w:val="000000" w:themeColor="text1"/>
          <w:sz w:val="20"/>
          <w:szCs w:val="20"/>
          <w:lang w:val="pt-BR"/>
          <w14:textFill>
            <w14:solidFill>
              <w14:schemeClr w14:val="tx1"/>
            </w14:solidFill>
          </w14:textFill>
        </w:rPr>
        <w:t xml:space="preserve"> </w:t>
      </w:r>
      <w:r>
        <w:rPr>
          <w:rFonts w:ascii="Calibri" w:hAnsi="Calibri" w:cs="Calibri"/>
          <w:b w:val="0"/>
          <w:bCs w:val="0"/>
          <w:sz w:val="20"/>
          <w:szCs w:val="20"/>
          <w:lang w:val="pt-BR"/>
        </w:rPr>
        <w:t xml:space="preserve"> Da liquidação da despesa:</w:t>
      </w:r>
    </w:p>
    <w:p>
      <w:pPr>
        <w:pStyle w:val="39"/>
        <w:widowControl w:val="0"/>
        <w:numPr>
          <w:ilvl w:val="0"/>
          <w:numId w:val="0"/>
        </w:numPr>
        <w:shd w:val="clear" w:fill="FFFFFF" w:themeFill="background1"/>
        <w:overflowPunct/>
        <w:ind w:left="720" w:firstLine="0"/>
        <w:jc w:val="both"/>
        <w:rPr>
          <w:rFonts w:ascii="Calibri" w:hAnsi="Calibri" w:cs="Calibri"/>
          <w:color w:val="000000" w:themeColor="text1"/>
          <w:sz w:val="20"/>
          <w:szCs w:val="20"/>
          <w:lang w:val="pt-BR"/>
          <w14:textFill>
            <w14:solidFill>
              <w14:schemeClr w14:val="tx1"/>
            </w14:solidFill>
          </w14:textFill>
        </w:rPr>
      </w:pPr>
    </w:p>
    <w:p>
      <w:pPr>
        <w:pStyle w:val="39"/>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12.2.1.</w:t>
      </w:r>
      <w:r>
        <w:rPr>
          <w:rFonts w:hint="default" w:ascii="Calibri" w:hAnsi="Calibri" w:cs="Calibri"/>
          <w:color w:val="000000" w:themeColor="text1"/>
          <w:sz w:val="20"/>
          <w:szCs w:val="20"/>
          <w:lang w:val="pt-BR"/>
          <w14:textFill>
            <w14:solidFill>
              <w14:schemeClr w14:val="tx1"/>
            </w14:solidFill>
          </w14:textFill>
        </w:rPr>
        <w:t xml:space="preserve"> </w:t>
      </w:r>
      <w:r>
        <w:rPr>
          <w:rFonts w:ascii="Calibri" w:hAnsi="Calibri" w:cs="Calibri"/>
          <w:color w:val="000000" w:themeColor="text1"/>
          <w:sz w:val="20"/>
          <w:szCs w:val="20"/>
          <w:lang w:val="pt-BR" w:eastAsia="en-US"/>
          <w14:textFill>
            <w14:solidFill>
              <w14:schemeClr w14:val="tx1"/>
            </w14:solidFill>
          </w14:textFill>
        </w:rPr>
        <w:t xml:space="preserve"> </w:t>
      </w:r>
      <w:r>
        <w:rPr>
          <w:rFonts w:ascii="Calibri" w:hAnsi="Calibri" w:cs="Calibri"/>
          <w:color w:val="000000" w:themeColor="text1"/>
          <w:sz w:val="20"/>
          <w:szCs w:val="20"/>
          <w:lang w:eastAsia="en-US"/>
          <w14:textFill>
            <w14:solidFill>
              <w14:schemeClr w14:val="tx1"/>
            </w14:solidFill>
          </w14:textFill>
        </w:rPr>
        <w:t xml:space="preserve">A liquidação será realizada pela Secretaria Municipal de Finanças, Planejamento, Desenvolvimento Econômico e Gestão, a partir do cumprimento das obrigações elencadas neste Termo de Referência, em obediência ao Decreto nº </w:t>
      </w:r>
      <w:r>
        <w:rPr>
          <w:rFonts w:ascii="Calibri" w:hAnsi="Calibri" w:cs="Calibri"/>
          <w:color w:val="000000" w:themeColor="text1"/>
          <w:sz w:val="20"/>
          <w:szCs w:val="20"/>
          <w:lang w:val="pt-BR" w:eastAsia="en-US"/>
          <w14:textFill>
            <w14:solidFill>
              <w14:schemeClr w14:val="tx1"/>
            </w14:solidFill>
          </w14:textFill>
        </w:rPr>
        <w:t>2</w:t>
      </w:r>
      <w:r>
        <w:rPr>
          <w:rFonts w:hint="default" w:ascii="Calibri" w:hAnsi="Calibri" w:cs="Calibri"/>
          <w:color w:val="000000" w:themeColor="text1"/>
          <w:sz w:val="20"/>
          <w:szCs w:val="20"/>
          <w:lang w:val="pt-BR" w:eastAsia="en-US"/>
          <w14:textFill>
            <w14:solidFill>
              <w14:schemeClr w14:val="tx1"/>
            </w14:solidFill>
          </w14:textFill>
        </w:rPr>
        <w:t>.</w:t>
      </w:r>
      <w:r>
        <w:rPr>
          <w:rFonts w:ascii="Calibri" w:hAnsi="Calibri" w:cs="Calibri"/>
          <w:color w:val="000000" w:themeColor="text1"/>
          <w:sz w:val="20"/>
          <w:szCs w:val="20"/>
          <w:lang w:val="pt-BR" w:eastAsia="en-US"/>
          <w14:textFill>
            <w14:solidFill>
              <w14:schemeClr w14:val="tx1"/>
            </w14:solidFill>
          </w14:textFill>
        </w:rPr>
        <w:t>493,</w:t>
      </w:r>
      <w:r>
        <w:rPr>
          <w:rFonts w:ascii="Calibri" w:hAnsi="Calibri" w:cs="Calibri"/>
          <w:color w:val="000000" w:themeColor="text1"/>
          <w:sz w:val="20"/>
          <w:szCs w:val="20"/>
          <w:lang w:eastAsia="en-US"/>
          <w14:textFill>
            <w14:solidFill>
              <w14:schemeClr w14:val="tx1"/>
            </w14:solidFill>
          </w14:textFill>
        </w:rPr>
        <w:t xml:space="preserve"> de </w:t>
      </w:r>
      <w:r>
        <w:rPr>
          <w:rFonts w:ascii="Calibri" w:hAnsi="Calibri" w:cs="Calibri"/>
          <w:color w:val="000000" w:themeColor="text1"/>
          <w:sz w:val="20"/>
          <w:szCs w:val="20"/>
          <w:lang w:val="pt-BR" w:eastAsia="en-US"/>
          <w14:textFill>
            <w14:solidFill>
              <w14:schemeClr w14:val="tx1"/>
            </w14:solidFill>
          </w14:textFill>
        </w:rPr>
        <w:t>0</w:t>
      </w:r>
      <w:r>
        <w:rPr>
          <w:rFonts w:ascii="Calibri" w:hAnsi="Calibri" w:cs="Calibri"/>
          <w:color w:val="000000" w:themeColor="text1"/>
          <w:sz w:val="20"/>
          <w:szCs w:val="20"/>
          <w:lang w:eastAsia="en-US"/>
          <w14:textFill>
            <w14:solidFill>
              <w14:schemeClr w14:val="tx1"/>
            </w14:solidFill>
          </w14:textFill>
        </w:rPr>
        <w:t xml:space="preserve">7 de </w:t>
      </w:r>
      <w:r>
        <w:rPr>
          <w:rFonts w:ascii="Calibri" w:hAnsi="Calibri" w:cs="Calibri"/>
          <w:color w:val="000000" w:themeColor="text1"/>
          <w:sz w:val="20"/>
          <w:szCs w:val="20"/>
          <w:lang w:val="pt-BR" w:eastAsia="en-US"/>
          <w14:textFill>
            <w14:solidFill>
              <w14:schemeClr w14:val="tx1"/>
            </w14:solidFill>
          </w14:textFill>
        </w:rPr>
        <w:t>novem</w:t>
      </w:r>
      <w:r>
        <w:rPr>
          <w:rFonts w:ascii="Calibri" w:hAnsi="Calibri" w:cs="Calibri"/>
          <w:color w:val="000000" w:themeColor="text1"/>
          <w:sz w:val="20"/>
          <w:szCs w:val="20"/>
          <w:lang w:eastAsia="en-US"/>
          <w14:textFill>
            <w14:solidFill>
              <w14:schemeClr w14:val="tx1"/>
            </w14:solidFill>
          </w14:textFill>
        </w:rPr>
        <w:t>bro de 20</w:t>
      </w:r>
      <w:r>
        <w:rPr>
          <w:rFonts w:ascii="Calibri" w:hAnsi="Calibri" w:cs="Calibri"/>
          <w:color w:val="000000" w:themeColor="text1"/>
          <w:sz w:val="20"/>
          <w:szCs w:val="20"/>
          <w:lang w:val="pt-BR" w:eastAsia="en-US"/>
          <w14:textFill>
            <w14:solidFill>
              <w14:schemeClr w14:val="tx1"/>
            </w14:solidFill>
          </w14:textFill>
        </w:rPr>
        <w:t>23</w:t>
      </w:r>
      <w:r>
        <w:rPr>
          <w:rFonts w:ascii="Calibri" w:hAnsi="Calibri" w:cs="Calibri"/>
          <w:color w:val="000000" w:themeColor="text1"/>
          <w:sz w:val="20"/>
          <w:szCs w:val="20"/>
          <w14:textFill>
            <w14:solidFill>
              <w14:schemeClr w14:val="tx1"/>
            </w14:solidFill>
          </w14:textFill>
        </w:rPr>
        <w:t>.</w:t>
      </w:r>
    </w:p>
    <w:p>
      <w:pPr>
        <w:pStyle w:val="39"/>
        <w:numPr>
          <w:ilvl w:val="0"/>
          <w:numId w:val="0"/>
        </w:numPr>
        <w:overflowPunct/>
        <w:ind w:left="720" w:firstLine="0"/>
        <w:jc w:val="both"/>
        <w:rPr>
          <w:rFonts w:ascii="Calibri" w:hAnsi="Calibri" w:cs="Calibri"/>
          <w:color w:val="000000" w:themeColor="text1"/>
          <w:sz w:val="20"/>
          <w:szCs w:val="20"/>
          <w14:textFill>
            <w14:solidFill>
              <w14:schemeClr w14:val="tx1"/>
            </w14:solidFill>
          </w14:textFill>
        </w:rPr>
      </w:pPr>
    </w:p>
    <w:p>
      <w:pPr>
        <w:numPr>
          <w:ilvl w:val="0"/>
          <w:numId w:val="0"/>
        </w:numPr>
        <w:suppressAutoHyphens/>
        <w:overflowPunct/>
        <w:jc w:val="both"/>
        <w:rPr>
          <w:rFonts w:ascii="Calibri" w:hAnsi="Calibri" w:cs="Calibri"/>
          <w:b w:val="0"/>
          <w:bCs w:val="0"/>
          <w:sz w:val="20"/>
          <w:szCs w:val="20"/>
          <w:lang w:val="pt-BR"/>
        </w:rPr>
      </w:pPr>
      <w:r>
        <w:rPr>
          <w:rFonts w:hint="default" w:ascii="Calibri" w:hAnsi="Calibri" w:cs="Calibri"/>
          <w:b/>
          <w:bCs/>
          <w:color w:val="000000" w:themeColor="text1"/>
          <w:sz w:val="20"/>
          <w:szCs w:val="20"/>
          <w:lang w:val="pt-BR"/>
          <w14:textFill>
            <w14:solidFill>
              <w14:schemeClr w14:val="tx1"/>
            </w14:solidFill>
          </w14:textFill>
        </w:rPr>
        <w:t>12.3.</w:t>
      </w:r>
      <w:r>
        <w:rPr>
          <w:rFonts w:ascii="Calibri" w:hAnsi="Calibri" w:cs="Calibri"/>
          <w:b w:val="0"/>
          <w:bCs w:val="0"/>
          <w:sz w:val="20"/>
          <w:szCs w:val="20"/>
          <w:lang w:val="pt-BR"/>
        </w:rPr>
        <w:t xml:space="preserve"> Do pagamento da despesa:</w:t>
      </w:r>
    </w:p>
    <w:p>
      <w:pPr>
        <w:pStyle w:val="39"/>
        <w:numPr>
          <w:ilvl w:val="0"/>
          <w:numId w:val="0"/>
        </w:numPr>
        <w:overflowPunct/>
        <w:ind w:left="720" w:firstLine="0"/>
        <w:jc w:val="both"/>
        <w:rPr>
          <w:rFonts w:ascii="Calibri" w:hAnsi="Calibri" w:cs="Calibri"/>
          <w:color w:val="000000" w:themeColor="text1"/>
          <w:sz w:val="20"/>
          <w:szCs w:val="20"/>
          <w14:textFill>
            <w14:solidFill>
              <w14:schemeClr w14:val="tx1"/>
            </w14:solidFill>
          </w14:textFill>
        </w:rPr>
      </w:pPr>
    </w:p>
    <w:p>
      <w:pPr>
        <w:pStyle w:val="39"/>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12.3.1.</w:t>
      </w:r>
      <w:r>
        <w:rPr>
          <w:rFonts w:ascii="Calibri" w:hAnsi="Calibri" w:cs="Calibri"/>
          <w:color w:val="000000" w:themeColor="text1"/>
          <w:sz w:val="20"/>
          <w:szCs w:val="20"/>
          <w:lang w:val="pt-BR" w:eastAsia="en-US"/>
          <w14:textFill>
            <w14:solidFill>
              <w14:schemeClr w14:val="tx1"/>
            </w14:solidFill>
          </w14:textFill>
        </w:rPr>
        <w:t xml:space="preserve"> </w:t>
      </w:r>
      <w:r>
        <w:rPr>
          <w:rFonts w:ascii="Calibri" w:hAnsi="Calibri" w:cs="Calibri"/>
          <w:color w:val="000000" w:themeColor="text1"/>
          <w:sz w:val="20"/>
          <w:szCs w:val="20"/>
          <w:lang w:eastAsia="en-US"/>
          <w14:textFill>
            <w14:solidFill>
              <w14:schemeClr w14:val="tx1"/>
            </w14:solidFill>
          </w14:textFill>
        </w:rPr>
        <w:t>O pagamento será efetuado conforme estabelecido no  Decreto</w:t>
      </w:r>
      <w:r>
        <w:rPr>
          <w:rFonts w:ascii="Calibri" w:hAnsi="Calibri" w:cs="Calibri"/>
          <w:color w:val="000000" w:themeColor="text1"/>
          <w:sz w:val="20"/>
          <w:szCs w:val="20"/>
          <w:lang w:val="pt-BR" w:eastAsia="en-US"/>
          <w14:textFill>
            <w14:solidFill>
              <w14:schemeClr w14:val="tx1"/>
            </w14:solidFill>
          </w14:textFill>
        </w:rPr>
        <w:t xml:space="preserve"> Municipal</w:t>
      </w:r>
      <w:r>
        <w:rPr>
          <w:rFonts w:ascii="Calibri" w:hAnsi="Calibri" w:cs="Calibri"/>
          <w:color w:val="000000" w:themeColor="text1"/>
          <w:sz w:val="20"/>
          <w:szCs w:val="20"/>
          <w:lang w:eastAsia="en-US"/>
          <w14:textFill>
            <w14:solidFill>
              <w14:schemeClr w14:val="tx1"/>
            </w14:solidFill>
          </w14:textFill>
        </w:rPr>
        <w:t xml:space="preserve"> nº </w:t>
      </w:r>
      <w:r>
        <w:rPr>
          <w:rFonts w:ascii="Calibri" w:hAnsi="Calibri" w:cs="Calibri"/>
          <w:color w:val="000000" w:themeColor="text1"/>
          <w:sz w:val="20"/>
          <w:szCs w:val="20"/>
          <w:lang w:val="pt-BR" w:eastAsia="en-US"/>
          <w14:textFill>
            <w14:solidFill>
              <w14:schemeClr w14:val="tx1"/>
            </w14:solidFill>
          </w14:textFill>
        </w:rPr>
        <w:t>2</w:t>
      </w:r>
      <w:r>
        <w:rPr>
          <w:rFonts w:hint="default" w:ascii="Calibri" w:hAnsi="Calibri" w:cs="Calibri"/>
          <w:color w:val="000000" w:themeColor="text1"/>
          <w:sz w:val="20"/>
          <w:szCs w:val="20"/>
          <w:lang w:val="pt-BR" w:eastAsia="en-US"/>
          <w14:textFill>
            <w14:solidFill>
              <w14:schemeClr w14:val="tx1"/>
            </w14:solidFill>
          </w14:textFill>
        </w:rPr>
        <w:t>.</w:t>
      </w:r>
      <w:bookmarkStart w:id="14" w:name="_GoBack"/>
      <w:bookmarkEnd w:id="14"/>
      <w:r>
        <w:rPr>
          <w:rFonts w:ascii="Calibri" w:hAnsi="Calibri" w:cs="Calibri"/>
          <w:color w:val="000000" w:themeColor="text1"/>
          <w:sz w:val="20"/>
          <w:szCs w:val="20"/>
          <w:lang w:val="pt-BR" w:eastAsia="en-US"/>
          <w14:textFill>
            <w14:solidFill>
              <w14:schemeClr w14:val="tx1"/>
            </w14:solidFill>
          </w14:textFill>
        </w:rPr>
        <w:t>493,</w:t>
      </w:r>
      <w:r>
        <w:rPr>
          <w:rFonts w:ascii="Calibri" w:hAnsi="Calibri" w:cs="Calibri"/>
          <w:color w:val="000000" w:themeColor="text1"/>
          <w:sz w:val="20"/>
          <w:szCs w:val="20"/>
          <w:lang w:eastAsia="en-US"/>
          <w14:textFill>
            <w14:solidFill>
              <w14:schemeClr w14:val="tx1"/>
            </w14:solidFill>
          </w14:textFill>
        </w:rPr>
        <w:t xml:space="preserve"> de </w:t>
      </w:r>
      <w:r>
        <w:rPr>
          <w:rFonts w:ascii="Calibri" w:hAnsi="Calibri" w:cs="Calibri"/>
          <w:color w:val="000000" w:themeColor="text1"/>
          <w:sz w:val="20"/>
          <w:szCs w:val="20"/>
          <w:lang w:val="pt-BR" w:eastAsia="en-US"/>
          <w14:textFill>
            <w14:solidFill>
              <w14:schemeClr w14:val="tx1"/>
            </w14:solidFill>
          </w14:textFill>
        </w:rPr>
        <w:t>0</w:t>
      </w:r>
      <w:r>
        <w:rPr>
          <w:rFonts w:ascii="Calibri" w:hAnsi="Calibri" w:cs="Calibri"/>
          <w:color w:val="000000" w:themeColor="text1"/>
          <w:sz w:val="20"/>
          <w:szCs w:val="20"/>
          <w:lang w:eastAsia="en-US"/>
          <w14:textFill>
            <w14:solidFill>
              <w14:schemeClr w14:val="tx1"/>
            </w14:solidFill>
          </w14:textFill>
        </w:rPr>
        <w:t xml:space="preserve">7 de </w:t>
      </w:r>
      <w:r>
        <w:rPr>
          <w:rFonts w:ascii="Calibri" w:hAnsi="Calibri" w:cs="Calibri"/>
          <w:color w:val="000000" w:themeColor="text1"/>
          <w:sz w:val="20"/>
          <w:szCs w:val="20"/>
          <w:lang w:val="pt-BR" w:eastAsia="en-US"/>
          <w14:textFill>
            <w14:solidFill>
              <w14:schemeClr w14:val="tx1"/>
            </w14:solidFill>
          </w14:textFill>
        </w:rPr>
        <w:t>novem</w:t>
      </w:r>
      <w:r>
        <w:rPr>
          <w:rFonts w:ascii="Calibri" w:hAnsi="Calibri" w:cs="Calibri"/>
          <w:color w:val="000000" w:themeColor="text1"/>
          <w:sz w:val="20"/>
          <w:szCs w:val="20"/>
          <w:lang w:eastAsia="en-US"/>
          <w14:textFill>
            <w14:solidFill>
              <w14:schemeClr w14:val="tx1"/>
            </w14:solidFill>
          </w14:textFill>
        </w:rPr>
        <w:t>bro de 20</w:t>
      </w:r>
      <w:r>
        <w:rPr>
          <w:rFonts w:ascii="Calibri" w:hAnsi="Calibri" w:cs="Calibri"/>
          <w:color w:val="000000" w:themeColor="text1"/>
          <w:sz w:val="20"/>
          <w:szCs w:val="20"/>
          <w:lang w:val="pt-BR" w:eastAsia="en-US"/>
          <w14:textFill>
            <w14:solidFill>
              <w14:schemeClr w14:val="tx1"/>
            </w14:solidFill>
          </w14:textFill>
        </w:rPr>
        <w:t>23</w:t>
      </w:r>
      <w:r>
        <w:rPr>
          <w:rFonts w:ascii="Calibri" w:hAnsi="Calibri" w:cs="Calibri"/>
          <w:color w:val="000000" w:themeColor="text1"/>
          <w:sz w:val="20"/>
          <w:szCs w:val="20"/>
          <w:lang w:eastAsia="en-US"/>
          <w14:textFill>
            <w14:solidFill>
              <w14:schemeClr w14:val="tx1"/>
            </w14:solidFill>
          </w14:textFill>
        </w:rPr>
        <w:t>, desde que as certidões listadas abaixo estejam dentro da validade</w:t>
      </w:r>
      <w:r>
        <w:rPr>
          <w:rFonts w:ascii="Calibri" w:hAnsi="Calibri" w:cs="Calibri"/>
          <w:color w:val="000000" w:themeColor="text1"/>
          <w:sz w:val="20"/>
          <w:szCs w:val="20"/>
          <w14:textFill>
            <w14:solidFill>
              <w14:schemeClr w14:val="tx1"/>
            </w14:solidFill>
          </w14:textFill>
        </w:rPr>
        <w:t>:</w:t>
      </w:r>
    </w:p>
    <w:p>
      <w:pPr>
        <w:pStyle w:val="39"/>
        <w:numPr>
          <w:ilvl w:val="0"/>
          <w:numId w:val="0"/>
        </w:numPr>
        <w:overflowPunct/>
        <w:jc w:val="both"/>
        <w:rPr>
          <w:rFonts w:ascii="Calibri" w:hAnsi="Calibri" w:cs="Calibri"/>
          <w:color w:val="000000" w:themeColor="text1"/>
          <w:sz w:val="20"/>
          <w:szCs w:val="20"/>
          <w14:textFill>
            <w14:solidFill>
              <w14:schemeClr w14:val="tx1"/>
            </w14:solidFill>
          </w14:textFill>
        </w:rPr>
      </w:pPr>
    </w:p>
    <w:p>
      <w:pPr>
        <w:numPr>
          <w:ilvl w:val="0"/>
          <w:numId w:val="0"/>
        </w:numPr>
        <w:overflowPunct/>
        <w:jc w:val="both"/>
        <w:rPr>
          <w:rFonts w:ascii="Calibri" w:hAnsi="Calibri" w:cs="Calibri"/>
          <w:sz w:val="20"/>
          <w:szCs w:val="20"/>
        </w:rPr>
      </w:pPr>
      <w:r>
        <w:rPr>
          <w:rFonts w:ascii="Calibri" w:hAnsi="Calibri" w:cs="Calibri"/>
          <w:sz w:val="20"/>
          <w:szCs w:val="20"/>
        </w:rPr>
        <w:t>Negativa de Débitos Trabalhistas;</w:t>
      </w:r>
      <w:r>
        <w:rPr>
          <w:rFonts w:ascii="Calibri" w:hAnsi="Calibri" w:cs="Calibri"/>
          <w:sz w:val="20"/>
          <w:szCs w:val="20"/>
          <w:lang w:val="pt-BR"/>
        </w:rPr>
        <w:t xml:space="preserve"> </w:t>
      </w:r>
      <w:r>
        <w:rPr>
          <w:rFonts w:ascii="Calibri" w:hAnsi="Calibri" w:cs="Calibri"/>
          <w:sz w:val="20"/>
          <w:szCs w:val="20"/>
        </w:rPr>
        <w:t>Fazenda Federal – abrange as contribuições sociais;</w:t>
      </w:r>
      <w:r>
        <w:rPr>
          <w:rFonts w:ascii="Calibri" w:hAnsi="Calibri" w:cs="Calibri"/>
          <w:sz w:val="20"/>
          <w:szCs w:val="20"/>
          <w:lang w:val="pt-BR"/>
        </w:rPr>
        <w:t xml:space="preserve"> </w:t>
      </w:r>
      <w:r>
        <w:rPr>
          <w:rFonts w:ascii="Calibri" w:hAnsi="Calibri" w:cs="Calibri"/>
          <w:sz w:val="20"/>
          <w:szCs w:val="20"/>
        </w:rPr>
        <w:t>FGTS;</w:t>
      </w:r>
      <w:r>
        <w:rPr>
          <w:rFonts w:ascii="Calibri" w:hAnsi="Calibri" w:cs="Calibri"/>
          <w:sz w:val="20"/>
          <w:szCs w:val="20"/>
          <w:lang w:val="pt-BR"/>
        </w:rPr>
        <w:t xml:space="preserve"> </w:t>
      </w:r>
      <w:r>
        <w:rPr>
          <w:rFonts w:ascii="Calibri" w:hAnsi="Calibri" w:cs="Calibri"/>
          <w:sz w:val="20"/>
          <w:szCs w:val="20"/>
        </w:rPr>
        <w:t>PGE – referente à Dívida Ativa Estadual;</w:t>
      </w:r>
      <w:r>
        <w:rPr>
          <w:rFonts w:ascii="Calibri" w:hAnsi="Calibri" w:cs="Calibri"/>
          <w:sz w:val="20"/>
          <w:szCs w:val="20"/>
          <w:lang w:val="pt-BR"/>
        </w:rPr>
        <w:t xml:space="preserve"> </w:t>
      </w:r>
      <w:r>
        <w:rPr>
          <w:rFonts w:ascii="Calibri" w:hAnsi="Calibri" w:cs="Calibri"/>
          <w:sz w:val="20"/>
          <w:szCs w:val="20"/>
        </w:rPr>
        <w:t>Municipal – referente ao ISS e Dívida Ativa;</w:t>
      </w:r>
      <w:r>
        <w:rPr>
          <w:rFonts w:ascii="Calibri" w:hAnsi="Calibri" w:cs="Calibri"/>
          <w:sz w:val="20"/>
          <w:szCs w:val="20"/>
          <w:lang w:val="pt-BR"/>
        </w:rPr>
        <w:t xml:space="preserve"> </w:t>
      </w:r>
      <w:r>
        <w:rPr>
          <w:rFonts w:ascii="Calibri" w:hAnsi="Calibri" w:cs="Calibri"/>
          <w:sz w:val="20"/>
          <w:szCs w:val="20"/>
        </w:rPr>
        <w:t>Estadual CND – referente ao ICMS.</w:t>
      </w:r>
    </w:p>
    <w:p>
      <w:pPr>
        <w:numPr>
          <w:ilvl w:val="0"/>
          <w:numId w:val="0"/>
        </w:numPr>
        <w:overflowPunct/>
        <w:jc w:val="both"/>
        <w:rPr>
          <w:rFonts w:ascii="Calibri" w:hAnsi="Calibri" w:cs="Calibri"/>
          <w:sz w:val="20"/>
          <w:szCs w:val="20"/>
        </w:rPr>
      </w:pPr>
    </w:p>
    <w:p>
      <w:pPr>
        <w:pStyle w:val="39"/>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12.3.2.</w:t>
      </w:r>
      <w:r>
        <w:rPr>
          <w:rFonts w:ascii="Calibri" w:hAnsi="Calibri" w:cs="Calibri"/>
          <w:color w:val="000000" w:themeColor="text1"/>
          <w:sz w:val="20"/>
          <w:szCs w:val="20"/>
          <w:lang w:val="pt-BR"/>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 xml:space="preserve">A Nota Fiscal  deverá conter a identificação do Banco, número da Agência e da Conta Corrente, para que possibilite o CONTRATANTE efetuar o pagamento do valor devido; </w:t>
      </w:r>
    </w:p>
    <w:p>
      <w:pPr>
        <w:pStyle w:val="39"/>
        <w:numPr>
          <w:ilvl w:val="0"/>
          <w:numId w:val="0"/>
        </w:numPr>
        <w:overflowPunct/>
        <w:jc w:val="both"/>
        <w:rPr>
          <w:rFonts w:ascii="Calibri" w:hAnsi="Calibri" w:cs="Calibri"/>
          <w:color w:val="000000" w:themeColor="text1"/>
          <w:sz w:val="20"/>
          <w:szCs w:val="20"/>
          <w14:textFill>
            <w14:solidFill>
              <w14:schemeClr w14:val="tx1"/>
            </w14:solidFill>
          </w14:textFill>
        </w:rPr>
      </w:pPr>
    </w:p>
    <w:p>
      <w:pPr>
        <w:pStyle w:val="39"/>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12.3.3.</w:t>
      </w:r>
      <w:r>
        <w:rPr>
          <w:rFonts w:ascii="Calibri" w:hAnsi="Calibri" w:cs="Calibri"/>
          <w:color w:val="000000" w:themeColor="text1"/>
          <w:sz w:val="20"/>
          <w:szCs w:val="20"/>
          <w:lang w:val="pt-BR"/>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Na ocorrência de rejeição da(s) Nota(s) Fiscal (s), motivada por erro ou incorreções, o prazo para pagamento estipulado acima passará a ser contado a partir da data de sua reapresentação.</w:t>
      </w:r>
    </w:p>
    <w:p>
      <w:pPr>
        <w:pStyle w:val="39"/>
        <w:numPr>
          <w:ilvl w:val="0"/>
          <w:numId w:val="0"/>
        </w:numPr>
        <w:overflowPunct/>
        <w:jc w:val="both"/>
        <w:rPr>
          <w:rFonts w:ascii="Calibri" w:hAnsi="Calibri" w:cs="Calibri"/>
          <w:color w:val="000000" w:themeColor="text1"/>
          <w:sz w:val="20"/>
          <w:szCs w:val="20"/>
          <w14:textFill>
            <w14:solidFill>
              <w14:schemeClr w14:val="tx1"/>
            </w14:solidFill>
          </w14:textFill>
        </w:rPr>
      </w:pPr>
    </w:p>
    <w:p>
      <w:pPr>
        <w:pStyle w:val="39"/>
        <w:numPr>
          <w:ilvl w:val="0"/>
          <w:numId w:val="0"/>
        </w:numPr>
        <w:overflowPunct/>
        <w:jc w:val="both"/>
        <w:rPr>
          <w:rFonts w:ascii="Calibri" w:hAnsi="Calibri" w:cs="Calibri"/>
          <w:color w:val="000000" w:themeColor="text1"/>
          <w:sz w:val="20"/>
          <w:szCs w:val="20"/>
          <w14:textFill>
            <w14:solidFill>
              <w14:schemeClr w14:val="tx1"/>
            </w14:solidFill>
          </w14:textFill>
        </w:rPr>
      </w:pPr>
      <w:r>
        <w:rPr>
          <w:rFonts w:hint="default" w:ascii="Calibri" w:hAnsi="Calibri" w:cs="Calibri"/>
          <w:b/>
          <w:bCs/>
          <w:color w:val="000000" w:themeColor="text1"/>
          <w:sz w:val="20"/>
          <w:szCs w:val="20"/>
          <w:lang w:val="pt-BR"/>
          <w14:textFill>
            <w14:solidFill>
              <w14:schemeClr w14:val="tx1"/>
            </w14:solidFill>
          </w14:textFill>
        </w:rPr>
        <w:t>12.3.4.</w:t>
      </w:r>
      <w:r>
        <w:rPr>
          <w:rFonts w:ascii="Calibri" w:hAnsi="Calibri" w:cs="Calibri"/>
          <w:color w:val="000000" w:themeColor="text1"/>
          <w:sz w:val="20"/>
          <w:szCs w:val="20"/>
          <w:lang w:val="pt-BR"/>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pPr>
        <w:pStyle w:val="39"/>
        <w:numPr>
          <w:ilvl w:val="0"/>
          <w:numId w:val="0"/>
        </w:numPr>
        <w:overflowPunct/>
        <w:jc w:val="both"/>
        <w:rPr>
          <w:rFonts w:hint="default" w:ascii="Calibri" w:hAnsi="Calibri" w:cs="Calibri"/>
          <w:color w:val="000000" w:themeColor="text1"/>
          <w:sz w:val="20"/>
          <w:szCs w:val="20"/>
          <w:lang w:val="pt-BR"/>
          <w14:textFill>
            <w14:solidFill>
              <w14:schemeClr w14:val="tx1"/>
            </w14:solidFill>
          </w14:textFill>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12.1.</w:t>
      </w:r>
      <w:r>
        <w:rPr>
          <w:rFonts w:hint="default" w:ascii="Calibri" w:hAnsi="Calibri" w:cs="Calibri"/>
          <w:b/>
          <w:bCs/>
          <w:color w:val="auto"/>
          <w:sz w:val="20"/>
          <w:szCs w:val="20"/>
        </w:rPr>
        <w:t>1.</w:t>
      </w:r>
      <w:r>
        <w:rPr>
          <w:rFonts w:hint="default" w:ascii="Calibri" w:hAnsi="Calibri" w:cs="Calibri"/>
          <w:b w:val="0"/>
          <w:bCs w:val="0"/>
          <w:color w:val="auto"/>
          <w:sz w:val="20"/>
          <w:szCs w:val="20"/>
        </w:rPr>
        <w:t xml:space="preserve"> A Licitante deverá apresentar o cronograma físico-financeiro adequado a sua proposta e em conformidade com o percentual previsto para desembolso elaborado pela Administração.</w:t>
      </w:r>
    </w:p>
    <w:p>
      <w:pPr>
        <w:widowControl/>
        <w:shd w:val="clear" w:color="auto" w:fill="auto"/>
        <w:tabs>
          <w:tab w:val="left" w:pos="-2475"/>
        </w:tabs>
        <w:suppressAutoHyphens/>
        <w:bidi w:val="0"/>
        <w:spacing w:before="0" w:after="0" w:line="240" w:lineRule="auto"/>
        <w:ind w:left="283" w:right="0" w:firstLine="0"/>
        <w:jc w:val="both"/>
        <w:textAlignment w:val="baseline"/>
        <w:rPr>
          <w:rFonts w:hint="default" w:ascii="Calibri" w:hAnsi="Calibri" w:cs="Calibri"/>
          <w:b w:val="0"/>
          <w:bCs w:val="0"/>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12.1.</w:t>
      </w:r>
      <w:r>
        <w:rPr>
          <w:rFonts w:hint="default" w:ascii="Calibri" w:hAnsi="Calibri" w:cs="Calibri"/>
          <w:b/>
          <w:bCs/>
          <w:color w:val="auto"/>
          <w:sz w:val="20"/>
          <w:szCs w:val="20"/>
        </w:rPr>
        <w:t>2.</w:t>
      </w:r>
      <w:r>
        <w:rPr>
          <w:rFonts w:hint="default" w:ascii="Calibri" w:hAnsi="Calibri" w:cs="Calibri"/>
          <w:b w:val="0"/>
          <w:bCs w:val="0"/>
          <w:color w:val="auto"/>
          <w:sz w:val="20"/>
          <w:szCs w:val="20"/>
        </w:rPr>
        <w:t xml:space="preserve"> Os pagamentos serão efetuados conforme a legislação de regência.</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12.1.3</w:t>
      </w:r>
      <w:r>
        <w:rPr>
          <w:rFonts w:hint="default" w:ascii="Calibri" w:hAnsi="Calibri" w:cs="Calibri"/>
          <w:b w:val="0"/>
          <w:bCs w:val="0"/>
          <w:color w:val="auto"/>
          <w:sz w:val="20"/>
          <w:szCs w:val="20"/>
        </w:rPr>
        <w:t xml:space="preserve"> Quando da apresentação das medições, deverá ser observada a normativa incidente, bem como a manutenção da regularidade fiscal ao longo do contrato.</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12.1.</w:t>
      </w:r>
      <w:r>
        <w:rPr>
          <w:rFonts w:hint="default" w:ascii="Calibri" w:hAnsi="Calibri" w:cs="Calibri"/>
          <w:b/>
          <w:bCs/>
          <w:color w:val="auto"/>
          <w:sz w:val="20"/>
          <w:szCs w:val="20"/>
        </w:rPr>
        <w:t>4.</w:t>
      </w:r>
      <w:r>
        <w:rPr>
          <w:rFonts w:hint="default" w:ascii="Calibri" w:hAnsi="Calibri" w:cs="Calibri"/>
          <w:b w:val="0"/>
          <w:bCs w:val="0"/>
          <w:color w:val="auto"/>
          <w:sz w:val="20"/>
          <w:szCs w:val="20"/>
        </w:rPr>
        <w:t xml:space="preserve"> Na última parcela será retido o percentual de 10% (dez por cento) do valor da fatura, até que se comprove toda regularidade fiscal e trabalhista.</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b w:val="0"/>
          <w:bCs w:val="0"/>
          <w:color w:val="auto"/>
          <w:sz w:val="20"/>
          <w:szCs w:val="20"/>
          <w:lang w:val="pt-BR"/>
        </w:rPr>
      </w:pPr>
    </w:p>
    <w:p>
      <w:pPr>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12.1.</w:t>
      </w:r>
      <w:r>
        <w:rPr>
          <w:rFonts w:hint="default" w:ascii="Calibri" w:hAnsi="Calibri" w:cs="Calibri"/>
          <w:b/>
          <w:bCs/>
          <w:color w:val="auto"/>
          <w:sz w:val="20"/>
          <w:szCs w:val="20"/>
        </w:rPr>
        <w:t>5.</w:t>
      </w:r>
      <w:r>
        <w:rPr>
          <w:rFonts w:hint="default" w:ascii="Calibri" w:hAnsi="Calibri" w:cs="Calibri"/>
          <w:b w:val="0"/>
          <w:bCs w:val="0"/>
          <w:color w:val="auto"/>
          <w:sz w:val="20"/>
          <w:szCs w:val="20"/>
        </w:rPr>
        <w:t xml:space="preserve"> O valor previsto no parágrafo </w:t>
      </w:r>
      <w:r>
        <w:rPr>
          <w:rFonts w:hint="default" w:ascii="Calibri" w:hAnsi="Calibri" w:cs="Calibri"/>
          <w:b w:val="0"/>
          <w:bCs w:val="0"/>
          <w:color w:val="auto"/>
          <w:sz w:val="20"/>
          <w:szCs w:val="20"/>
          <w:lang w:val="pt-BR"/>
        </w:rPr>
        <w:t xml:space="preserve">acima </w:t>
      </w:r>
      <w:r>
        <w:rPr>
          <w:rFonts w:hint="default" w:ascii="Calibri" w:hAnsi="Calibri" w:cs="Calibri"/>
          <w:b w:val="0"/>
          <w:bCs w:val="0"/>
          <w:color w:val="auto"/>
          <w:sz w:val="20"/>
          <w:szCs w:val="20"/>
        </w:rPr>
        <w:t>será liberado após a comprovação, pela Contratada, do cumprimento de todas as obrigações trabalhistas e previdenciárias, documentadas por meio das respectivas certidões.</w:t>
      </w:r>
    </w:p>
    <w:p>
      <w:pPr>
        <w:pageBreakBefore w:val="0"/>
        <w:widowControl/>
        <w:shd w:val="clear" w:color="auto" w:fill="auto"/>
        <w:tabs>
          <w:tab w:val="left" w:pos="-2475"/>
        </w:tabs>
        <w:suppressAutoHyphens/>
        <w:bidi w:val="0"/>
        <w:spacing w:before="0" w:after="0" w:line="240" w:lineRule="auto"/>
        <w:ind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12.1.</w:t>
      </w:r>
      <w:r>
        <w:rPr>
          <w:rFonts w:hint="default" w:ascii="Calibri" w:hAnsi="Calibri" w:cs="Calibri"/>
          <w:b/>
          <w:bCs/>
          <w:color w:val="auto"/>
          <w:sz w:val="20"/>
          <w:szCs w:val="20"/>
        </w:rPr>
        <w:t>6.</w:t>
      </w:r>
      <w:r>
        <w:rPr>
          <w:rFonts w:hint="default" w:ascii="Calibri" w:hAnsi="Calibri" w:cs="Calibri"/>
          <w:b w:val="0"/>
          <w:bCs w:val="0"/>
          <w:color w:val="auto"/>
          <w:sz w:val="20"/>
          <w:szCs w:val="20"/>
        </w:rPr>
        <w:t xml:space="preserve"> Caso seja necessário readequar o cronograma físico-financeiro o percentual de 10% (dez por cento), deverá ser mantido na última medição.</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12.1.</w:t>
      </w:r>
      <w:r>
        <w:rPr>
          <w:rFonts w:hint="default" w:ascii="Calibri" w:hAnsi="Calibri" w:cs="Calibri"/>
          <w:b/>
          <w:bCs/>
          <w:color w:val="auto"/>
          <w:sz w:val="20"/>
          <w:szCs w:val="20"/>
        </w:rPr>
        <w:t>7.</w:t>
      </w:r>
      <w:r>
        <w:rPr>
          <w:rFonts w:hint="default" w:ascii="Calibri" w:hAnsi="Calibri" w:cs="Calibri"/>
          <w:b w:val="0"/>
          <w:bCs w:val="0"/>
          <w:color w:val="auto"/>
          <w:sz w:val="20"/>
          <w:szCs w:val="20"/>
        </w:rPr>
        <w:t xml:space="preserve"> Não serão concedidos reajustes contratuais quando não houver o cumprimento do cronograma proposto pela Contratada, não justificado pela fiscalização.</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sz w:val="20"/>
          <w:szCs w:val="20"/>
        </w:rPr>
      </w:pPr>
      <w:r>
        <w:rPr>
          <w:rFonts w:hint="default" w:ascii="Calibri" w:hAnsi="Calibri" w:cs="Calibri"/>
          <w:b/>
          <w:bCs/>
          <w:color w:val="auto"/>
          <w:sz w:val="20"/>
          <w:szCs w:val="20"/>
          <w:lang w:val="pt-BR"/>
        </w:rPr>
        <w:t>12.1.</w:t>
      </w:r>
      <w:r>
        <w:rPr>
          <w:rFonts w:hint="default" w:ascii="Calibri" w:hAnsi="Calibri" w:cs="Calibri"/>
          <w:b/>
          <w:bCs/>
          <w:color w:val="auto"/>
          <w:sz w:val="20"/>
          <w:szCs w:val="20"/>
        </w:rPr>
        <w:t>8.</w:t>
      </w:r>
      <w:r>
        <w:rPr>
          <w:rFonts w:hint="default" w:ascii="Calibri" w:hAnsi="Calibri" w:cs="Calibri"/>
          <w:b w:val="0"/>
          <w:bCs w:val="0"/>
          <w:color w:val="auto"/>
          <w:sz w:val="20"/>
          <w:szCs w:val="20"/>
        </w:rPr>
        <w:t xml:space="preserve"> Na hipótese de atraso no pagamento pela Administração, a aplicação de atualização do valor deverá atender, inicialmente, a legislação </w:t>
      </w:r>
      <w:r>
        <w:rPr>
          <w:rFonts w:hint="default" w:ascii="Calibri" w:hAnsi="Calibri" w:eastAsia="Times New Roman" w:cs="Calibri"/>
          <w:b w:val="0"/>
          <w:bCs w:val="0"/>
          <w:color w:val="auto"/>
          <w:kern w:val="2"/>
          <w:sz w:val="20"/>
          <w:szCs w:val="20"/>
          <w:lang w:val="pt-BR" w:bidi="ar-SA"/>
        </w:rPr>
        <w:t xml:space="preserve">que rege a matéria e </w:t>
      </w:r>
      <w:r>
        <w:rPr>
          <w:rFonts w:hint="default" w:ascii="Calibri" w:hAnsi="Calibri" w:cs="Calibri"/>
          <w:b w:val="0"/>
          <w:bCs w:val="0"/>
          <w:color w:val="auto"/>
          <w:sz w:val="20"/>
          <w:szCs w:val="20"/>
        </w:rPr>
        <w:t>o menor índice legal previsto.</w:t>
      </w:r>
    </w:p>
    <w:p>
      <w:pPr>
        <w:pageBreakBefore w:val="0"/>
        <w:widowControl/>
        <w:shd w:val="clear" w:color="auto" w:fill="auto"/>
        <w:tabs>
          <w:tab w:val="left" w:pos="-2475"/>
        </w:tabs>
        <w:suppressAutoHyphens/>
        <w:bidi w:val="0"/>
        <w:spacing w:before="0" w:after="0" w:line="240" w:lineRule="auto"/>
        <w:ind w:left="567" w:right="0" w:firstLine="0"/>
        <w:jc w:val="both"/>
        <w:textAlignment w:val="baseline"/>
        <w:rPr>
          <w:rFonts w:hint="default" w:ascii="Calibri" w:hAnsi="Calibri" w:cs="Calibri"/>
          <w:color w:val="auto"/>
          <w:sz w:val="20"/>
          <w:szCs w:val="20"/>
        </w:rPr>
      </w:pPr>
    </w:p>
    <w:p>
      <w:pPr>
        <w:pageBreakBefore w:val="0"/>
        <w:widowControl/>
        <w:shd w:val="clear" w:color="auto" w:fill="auto"/>
        <w:tabs>
          <w:tab w:val="left" w:pos="-2475"/>
        </w:tabs>
        <w:suppressAutoHyphens/>
        <w:bidi w:val="0"/>
        <w:spacing w:before="0" w:after="0" w:line="240" w:lineRule="auto"/>
        <w:ind w:right="0"/>
        <w:jc w:val="both"/>
        <w:textAlignment w:val="baseline"/>
        <w:rPr>
          <w:rFonts w:hint="default" w:ascii="Calibri" w:hAnsi="Calibri" w:cs="Calibri"/>
          <w:b w:val="0"/>
          <w:bCs w:val="0"/>
          <w:color w:val="auto"/>
          <w:sz w:val="20"/>
          <w:szCs w:val="20"/>
        </w:rPr>
      </w:pPr>
      <w:r>
        <w:rPr>
          <w:rFonts w:hint="default" w:ascii="Calibri" w:hAnsi="Calibri" w:cs="Calibri"/>
          <w:b/>
          <w:bCs/>
          <w:color w:val="auto"/>
          <w:sz w:val="20"/>
          <w:szCs w:val="20"/>
          <w:lang w:val="pt-BR"/>
        </w:rPr>
        <w:t>12.1.</w:t>
      </w:r>
      <w:r>
        <w:rPr>
          <w:rFonts w:hint="default" w:ascii="Calibri" w:hAnsi="Calibri" w:cs="Calibri"/>
          <w:b/>
          <w:bCs/>
          <w:color w:val="auto"/>
          <w:sz w:val="20"/>
          <w:szCs w:val="20"/>
        </w:rPr>
        <w:t>10.</w:t>
      </w:r>
      <w:r>
        <w:rPr>
          <w:rFonts w:hint="default" w:ascii="Calibri" w:hAnsi="Calibri" w:cs="Calibri"/>
          <w:b w:val="0"/>
          <w:bCs w:val="0"/>
          <w:color w:val="auto"/>
          <w:sz w:val="20"/>
          <w:szCs w:val="20"/>
        </w:rPr>
        <w:t xml:space="preserve"> Não será admitida a cessão de crédito pela Contratada.</w:t>
      </w:r>
    </w:p>
    <w:p>
      <w:pPr>
        <w:pStyle w:val="43"/>
        <w:numPr>
          <w:numId w:val="0"/>
        </w:numPr>
        <w:ind w:left="-240" w:leftChars="-100" w:firstLine="0" w:firstLineChars="0"/>
        <w:rPr>
          <w:rFonts w:hint="default" w:ascii="Calibri" w:hAnsi="Calibri" w:cs="Calibri"/>
          <w:color w:val="FF0000"/>
          <w:sz w:val="20"/>
          <w:szCs w:val="20"/>
        </w:rPr>
      </w:pPr>
      <w:r>
        <w:rPr>
          <w:rFonts w:hint="default" w:ascii="Calibri" w:hAnsi="Calibri" w:cs="Calibri"/>
          <w:b/>
          <w:bCs/>
          <w:color w:val="auto"/>
          <w:sz w:val="20"/>
          <w:szCs w:val="20"/>
          <w:lang w:val="pt-BR"/>
        </w:rPr>
        <w:t>13</w:t>
      </w:r>
      <w:r>
        <w:rPr>
          <w:rFonts w:hint="default" w:ascii="Calibri" w:hAnsi="Calibri" w:cs="Calibri"/>
          <w:color w:val="auto"/>
          <w:sz w:val="20"/>
          <w:szCs w:val="20"/>
          <w:lang w:val="pt-BR"/>
        </w:rPr>
        <w:t xml:space="preserve"> . </w:t>
      </w:r>
      <w:r>
        <w:rPr>
          <w:rFonts w:hint="default" w:ascii="Calibri" w:hAnsi="Calibri" w:cs="Calibri"/>
          <w:color w:val="FF0000"/>
          <w:sz w:val="20"/>
          <w:szCs w:val="20"/>
          <w:lang w:val="pt-BR"/>
        </w:rPr>
        <w:t xml:space="preserve">    </w:t>
      </w:r>
      <w:r>
        <w:rPr>
          <w:rFonts w:hint="default" w:ascii="Calibri" w:hAnsi="Calibri" w:cs="Calibri"/>
          <w:color w:val="FF0000"/>
          <w:sz w:val="20"/>
          <w:szCs w:val="20"/>
        </w:rPr>
        <w:t xml:space="preserve">ADEQUAÇÃO ORÇAMENTÁRIA </w:t>
      </w:r>
    </w:p>
    <w:p>
      <w:pPr>
        <w:pStyle w:val="39"/>
        <w:numPr>
          <w:numId w:val="0"/>
        </w:numPr>
        <w:spacing w:after="0" w:line="276" w:lineRule="auto"/>
        <w:ind w:leftChars="0"/>
        <w:jc w:val="both"/>
        <w:rPr>
          <w:rFonts w:hint="default" w:ascii="Calibri" w:hAnsi="Calibri" w:cs="Calibri"/>
          <w:i/>
          <w:iCs/>
          <w:color w:val="FF0000"/>
          <w:sz w:val="20"/>
          <w:szCs w:val="20"/>
        </w:rPr>
      </w:pPr>
      <w:r>
        <w:rPr>
          <w:rFonts w:hint="default" w:ascii="Calibri" w:hAnsi="Calibri" w:cs="Calibri"/>
          <w:b/>
          <w:bCs/>
          <w:sz w:val="20"/>
          <w:szCs w:val="20"/>
          <w:lang w:val="pt-BR"/>
        </w:rPr>
        <w:t xml:space="preserve">13.1. </w:t>
      </w:r>
      <w:r>
        <w:rPr>
          <w:rFonts w:hint="default" w:ascii="Calibri" w:hAnsi="Calibri" w:cs="Calibri"/>
          <w:sz w:val="20"/>
          <w:szCs w:val="20"/>
          <w:lang w:val="pt-BR"/>
        </w:rPr>
        <w:t xml:space="preserve"> </w:t>
      </w:r>
      <w:r>
        <w:rPr>
          <w:rFonts w:hint="default" w:ascii="Calibri" w:hAnsi="Calibri" w:cs="Calibri"/>
          <w:sz w:val="20"/>
          <w:szCs w:val="20"/>
        </w:rPr>
        <w:t>As despesas decorrentes da presente contratação correrão à conta de recursos específicos consignados no Orçamento</w:t>
      </w:r>
      <w:r>
        <w:rPr>
          <w:rFonts w:hint="default" w:ascii="Calibri" w:hAnsi="Calibri" w:cs="Calibri"/>
          <w:sz w:val="20"/>
          <w:szCs w:val="20"/>
          <w:lang w:val="pt-BR"/>
        </w:rPr>
        <w:t xml:space="preserve"> do município</w:t>
      </w:r>
      <w:r>
        <w:rPr>
          <w:rFonts w:hint="default" w:ascii="Calibri" w:hAnsi="Calibri" w:cs="Calibri"/>
          <w:sz w:val="20"/>
          <w:szCs w:val="20"/>
        </w:rPr>
        <w:t>.</w:t>
      </w:r>
    </w:p>
    <w:p>
      <w:pPr>
        <w:pStyle w:val="39"/>
        <w:numPr>
          <w:numId w:val="0"/>
        </w:numPr>
        <w:spacing w:after="0" w:line="276" w:lineRule="auto"/>
        <w:ind w:left="568" w:leftChars="0"/>
        <w:jc w:val="both"/>
        <w:rPr>
          <w:rFonts w:hint="default" w:ascii="Calibri" w:hAnsi="Calibri" w:cs="Calibri"/>
          <w:i/>
          <w:iCs/>
          <w:color w:val="FF0000"/>
          <w:sz w:val="20"/>
          <w:szCs w:val="20"/>
        </w:rPr>
      </w:pPr>
      <w:r>
        <w:rPr>
          <w:rFonts w:hint="default" w:ascii="Calibri" w:hAnsi="Calibri" w:cs="Calibri"/>
          <w:b/>
          <w:bCs/>
          <w:iCs/>
          <w:sz w:val="20"/>
          <w:szCs w:val="20"/>
          <w:lang w:val="pt-BR"/>
        </w:rPr>
        <w:t>13.1.1</w:t>
      </w:r>
      <w:r>
        <w:rPr>
          <w:rFonts w:hint="default" w:ascii="Calibri" w:hAnsi="Calibri" w:cs="Calibri"/>
          <w:iCs/>
          <w:sz w:val="20"/>
          <w:szCs w:val="20"/>
          <w:lang w:val="pt-BR"/>
        </w:rPr>
        <w:t xml:space="preserve">.  </w:t>
      </w:r>
      <w:r>
        <w:rPr>
          <w:rFonts w:hint="default" w:ascii="Calibri" w:hAnsi="Calibri" w:cs="Calibri"/>
          <w:iCs/>
          <w:sz w:val="20"/>
          <w:szCs w:val="20"/>
        </w:rPr>
        <w:t>A contratação será atendida pela seguinte dotação:</w:t>
      </w:r>
    </w:p>
    <w:p>
      <w:pPr>
        <w:spacing w:after="0" w:line="276" w:lineRule="auto"/>
        <w:ind w:left="1133" w:firstLine="283"/>
        <w:jc w:val="both"/>
        <w:rPr>
          <w:rFonts w:hint="default" w:ascii="Calibri" w:hAnsi="Calibri" w:cs="Calibri"/>
          <w:iCs/>
          <w:sz w:val="20"/>
          <w:szCs w:val="20"/>
        </w:rPr>
      </w:pPr>
    </w:p>
    <w:p>
      <w:pPr>
        <w:spacing w:after="0" w:line="276" w:lineRule="auto"/>
        <w:ind w:left="1133" w:firstLine="283"/>
        <w:jc w:val="both"/>
        <w:rPr>
          <w:rFonts w:hint="default" w:ascii="Calibri" w:hAnsi="Calibri" w:cs="Calibri"/>
          <w:i/>
          <w:iCs/>
          <w:color w:val="FF0000"/>
          <w:sz w:val="20"/>
          <w:szCs w:val="20"/>
        </w:rPr>
      </w:pPr>
      <w:r>
        <w:rPr>
          <w:rFonts w:hint="default" w:ascii="Calibri" w:hAnsi="Calibri" w:cs="Calibri"/>
          <w:i/>
          <w:iCs/>
          <w:color w:val="FF0000"/>
          <w:sz w:val="20"/>
          <w:szCs w:val="20"/>
        </w:rPr>
        <w:t>Gestão/Unidade: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Fonte de Recursos: [...];</w:t>
      </w:r>
    </w:p>
    <w:p>
      <w:pPr>
        <w:spacing w:after="0" w:line="276" w:lineRule="auto"/>
        <w:ind w:left="1133" w:firstLine="283"/>
        <w:jc w:val="both"/>
        <w:rPr>
          <w:rFonts w:hint="default" w:ascii="Calibri" w:hAnsi="Calibri" w:cs="Calibri"/>
          <w:i/>
          <w:iCs/>
          <w:color w:val="FF0000"/>
          <w:sz w:val="20"/>
          <w:szCs w:val="20"/>
        </w:rPr>
      </w:pPr>
      <w:r>
        <w:rPr>
          <w:rFonts w:hint="default" w:ascii="Calibri" w:hAnsi="Calibri" w:cs="Calibri"/>
          <w:i/>
          <w:iCs/>
          <w:color w:val="FF0000"/>
          <w:sz w:val="20"/>
          <w:szCs w:val="20"/>
        </w:rPr>
        <w:t>Programa de Trabalho: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Elemento de Despesa: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Plano Interno: [...];</w:t>
      </w:r>
    </w:p>
    <w:p>
      <w:pPr>
        <w:spacing w:after="0" w:line="276" w:lineRule="auto"/>
        <w:jc w:val="both"/>
        <w:rPr>
          <w:rFonts w:hint="default" w:ascii="Calibri" w:hAnsi="Calibri" w:cs="Calibri"/>
          <w:bCs/>
          <w:color w:val="FF0000"/>
          <w:sz w:val="20"/>
          <w:szCs w:val="20"/>
        </w:rPr>
      </w:pPr>
    </w:p>
    <w:p>
      <w:pPr>
        <w:pStyle w:val="39"/>
        <w:numPr>
          <w:numId w:val="0"/>
        </w:numPr>
        <w:spacing w:after="0" w:line="276" w:lineRule="auto"/>
        <w:ind w:leftChars="0"/>
        <w:jc w:val="both"/>
        <w:rPr>
          <w:rFonts w:hint="default" w:ascii="Calibri" w:hAnsi="Calibri" w:cs="Calibri"/>
          <w:bCs/>
          <w:color w:val="FF0000"/>
          <w:sz w:val="20"/>
          <w:szCs w:val="20"/>
        </w:rPr>
      </w:pPr>
      <w:r>
        <w:rPr>
          <w:rFonts w:hint="default" w:ascii="Calibri" w:hAnsi="Calibri" w:cs="Calibri"/>
          <w:b/>
          <w:bCs/>
          <w:i/>
          <w:iCs/>
          <w:color w:val="auto"/>
          <w:sz w:val="20"/>
          <w:szCs w:val="20"/>
          <w:lang w:val="pt-BR"/>
        </w:rPr>
        <w:t>13.1.</w:t>
      </w:r>
      <w:r>
        <w:rPr>
          <w:rFonts w:hint="default" w:ascii="Calibri" w:hAnsi="Calibri" w:cs="Calibri"/>
          <w:i/>
          <w:iCs/>
          <w:color w:val="FF0000"/>
          <w:sz w:val="20"/>
          <w:szCs w:val="20"/>
          <w:lang w:val="pt-BR"/>
        </w:rPr>
        <w:t xml:space="preserve">  </w:t>
      </w:r>
      <w:r>
        <w:rPr>
          <w:rFonts w:hint="default" w:ascii="Calibri" w:hAnsi="Calibri" w:cs="Calibri"/>
          <w:i/>
          <w:iCs/>
          <w:color w:val="FF0000"/>
          <w:sz w:val="20"/>
          <w:szCs w:val="20"/>
        </w:rPr>
        <w:t>A dotação relativa aos exercícios financeiros subsequentes será indicada após aprovação da Lei Orçamentária respectiva e liberação dos créditos correspondentes, mediante apostilamento.</w:t>
      </w:r>
    </w:p>
    <w:bookmarkEnd w:id="0"/>
    <w:p>
      <w:pPr>
        <w:pBdr>
          <w:top w:val="single" w:color="auto" w:sz="4" w:space="1"/>
          <w:left w:val="single" w:color="auto" w:sz="4" w:space="4"/>
          <w:bottom w:val="single" w:color="auto" w:sz="4" w:space="1"/>
          <w:right w:val="single" w:color="auto" w:sz="4" w:space="4"/>
        </w:pBdr>
        <w:shd w:val="clear" w:color="auto" w:fill="FFFFCC"/>
        <w:spacing w:before="120" w:after="120" w:line="276" w:lineRule="auto"/>
        <w:ind w:left="425"/>
        <w:jc w:val="both"/>
        <w:rPr>
          <w:rFonts w:hint="default" w:ascii="Calibri" w:hAnsi="Calibri" w:cs="Calibri"/>
          <w:i/>
          <w:iCs/>
          <w:sz w:val="20"/>
          <w:szCs w:val="20"/>
          <w:lang w:eastAsia="pt-BR"/>
        </w:rPr>
      </w:pPr>
      <w:r>
        <w:rPr>
          <w:rFonts w:hint="default" w:ascii="Calibri" w:hAnsi="Calibri" w:cs="Calibri"/>
          <w:b/>
          <w:bCs/>
          <w:i/>
          <w:iCs/>
          <w:sz w:val="20"/>
          <w:szCs w:val="20"/>
          <w:lang w:eastAsia="pt-BR"/>
        </w:rPr>
        <w:t xml:space="preserve">Nota Explicativa: </w:t>
      </w:r>
      <w:r>
        <w:rPr>
          <w:rFonts w:hint="default" w:ascii="Calibri" w:hAnsi="Calibri" w:cs="Calibri"/>
          <w:i/>
          <w:iCs/>
          <w:sz w:val="20"/>
          <w:szCs w:val="20"/>
          <w:lang w:eastAsia="pt-BR"/>
        </w:rPr>
        <w:t>O art. 106, II da Lei nº 14.133/21 prevê para contratações de fornecimento continuado que a “</w:t>
      </w:r>
      <w:r>
        <w:rPr>
          <w:rFonts w:hint="default" w:ascii="Calibri" w:hAnsi="Calibri" w:cs="Calibri"/>
          <w:i/>
          <w:iCs/>
          <w:color w:val="000000"/>
          <w:sz w:val="20"/>
          <w:szCs w:val="20"/>
        </w:rPr>
        <w:t>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p>
      <w:pPr>
        <w:spacing w:after="360"/>
        <w:ind w:left="360"/>
        <w:rPr>
          <w:rFonts w:hint="default" w:ascii="Calibri" w:hAnsi="Calibri" w:cs="Calibri"/>
          <w:sz w:val="20"/>
          <w:szCs w:val="20"/>
        </w:rPr>
      </w:pPr>
      <w:r>
        <w:rPr>
          <w:rFonts w:hint="default" w:ascii="Calibri" w:hAnsi="Calibri" w:cs="Calibri"/>
          <w:i/>
          <w:color w:val="FF0000"/>
          <w:sz w:val="20"/>
          <w:szCs w:val="20"/>
        </w:rPr>
        <w:t>Município de</w:t>
      </w:r>
      <w:r>
        <w:rPr>
          <w:rFonts w:hint="default" w:ascii="Calibri" w:hAnsi="Calibri" w:cs="Calibri"/>
          <w:b/>
          <w:bCs/>
          <w:color w:val="FF0000"/>
          <w:sz w:val="20"/>
          <w:szCs w:val="20"/>
        </w:rPr>
        <w:t xml:space="preserve"> ..............., .......... </w:t>
      </w:r>
      <w:r>
        <w:rPr>
          <w:rFonts w:hint="default" w:ascii="Calibri" w:hAnsi="Calibri" w:cs="Calibri"/>
          <w:bCs/>
          <w:sz w:val="20"/>
          <w:szCs w:val="20"/>
        </w:rPr>
        <w:t>de</w:t>
      </w:r>
      <w:r>
        <w:rPr>
          <w:rFonts w:hint="default" w:ascii="Calibri" w:hAnsi="Calibri" w:cs="Calibri"/>
          <w:b/>
          <w:bCs/>
          <w:color w:val="FF0000"/>
          <w:sz w:val="20"/>
          <w:szCs w:val="20"/>
        </w:rPr>
        <w:t xml:space="preserve"> ................</w:t>
      </w:r>
      <w:r>
        <w:rPr>
          <w:rFonts w:hint="default" w:ascii="Calibri" w:hAnsi="Calibri" w:cs="Calibri"/>
          <w:bCs/>
          <w:sz w:val="20"/>
          <w:szCs w:val="20"/>
        </w:rPr>
        <w:t>de</w:t>
      </w:r>
      <w:r>
        <w:rPr>
          <w:rFonts w:hint="default" w:ascii="Calibri" w:hAnsi="Calibri" w:cs="Calibri"/>
          <w:b/>
          <w:bCs/>
          <w:color w:val="FF0000"/>
          <w:sz w:val="20"/>
          <w:szCs w:val="20"/>
        </w:rPr>
        <w:t xml:space="preserve"> ............</w:t>
      </w:r>
      <w:r>
        <w:rPr>
          <w:rFonts w:hint="default" w:ascii="Calibri" w:hAnsi="Calibri" w:cs="Calibri"/>
          <w:sz w:val="20"/>
          <w:szCs w:val="20"/>
        </w:rPr>
        <w:t xml:space="preserve">. </w:t>
      </w:r>
    </w:p>
    <w:p>
      <w:pPr>
        <w:spacing w:after="360"/>
        <w:ind w:left="360"/>
        <w:rPr>
          <w:rFonts w:hint="default" w:ascii="Calibri" w:hAnsi="Calibri" w:cs="Calibri"/>
          <w:sz w:val="20"/>
          <w:szCs w:val="20"/>
        </w:rPr>
      </w:pPr>
      <w:r>
        <w:rPr>
          <w:rFonts w:hint="default" w:ascii="Calibri" w:hAnsi="Calibri" w:cs="Calibri"/>
          <w:sz w:val="20"/>
          <w:szCs w:val="20"/>
        </w:rPr>
        <w:t>__________________________________</w:t>
      </w:r>
    </w:p>
    <w:p>
      <w:pPr>
        <w:spacing w:after="360"/>
        <w:ind w:left="360"/>
        <w:rPr>
          <w:rFonts w:hint="default" w:ascii="Calibri" w:hAnsi="Calibri" w:cs="Calibri"/>
          <w:sz w:val="20"/>
          <w:szCs w:val="20"/>
        </w:rPr>
      </w:pPr>
      <w:r>
        <w:rPr>
          <w:rFonts w:hint="default" w:ascii="Calibri" w:hAnsi="Calibri" w:cs="Calibri"/>
          <w:sz w:val="20"/>
          <w:szCs w:val="20"/>
        </w:rPr>
        <w:t xml:space="preserve">Identificação e assinatura do servidor (ou equipe) responsável </w:t>
      </w:r>
    </w:p>
    <w:p>
      <w:pPr>
        <w:pStyle w:val="47"/>
        <w:rPr>
          <w:rFonts w:hint="default" w:ascii="Calibri" w:hAnsi="Calibri" w:cs="Calibri"/>
        </w:rPr>
      </w:pPr>
      <w:r>
        <w:rPr>
          <w:rFonts w:hint="default" w:ascii="Calibri" w:hAnsi="Calibri" w:cs="Calibri"/>
          <w:b/>
        </w:rPr>
        <w:t>Nota explicativa</w:t>
      </w:r>
      <w:r>
        <w:rPr>
          <w:rFonts w:hint="default" w:ascii="Calibri" w:hAnsi="Calibri" w:cs="Calibri"/>
        </w:rPr>
        <w:t>: O Termo de Referência deverá ser devidamente aprovado pelo ordenador de despesas ou a autoridade competente respectiva, conforme divisão de atribuições de cada órgão.</w:t>
      </w:r>
    </w:p>
    <w:p>
      <w:pPr>
        <w:pStyle w:val="47"/>
        <w:rPr>
          <w:rFonts w:hint="default" w:ascii="Calibri" w:hAnsi="Calibri" w:cs="Calibri"/>
        </w:rPr>
      </w:pPr>
      <w:r>
        <w:rPr>
          <w:rFonts w:hint="default" w:ascii="Calibri" w:hAnsi="Calibri" w:cs="Calibri"/>
          <w:b/>
          <w:bCs/>
        </w:rPr>
        <w:t xml:space="preserve">Nota explicativa 2: </w:t>
      </w:r>
      <w:r>
        <w:rPr>
          <w:rFonts w:hint="default" w:ascii="Calibri" w:hAnsi="Calibri" w:cs="Calibri"/>
        </w:rPr>
        <w:t>Registre-se que, salvo no caso em que a própria autoridade competente para aprovar elabore o termo de referência, eventual equipe incumbida de tal confecção deve ser designada pela autoridade competente nos termos do art. 7º da Lei nº 14.133/21, incumbindo à esta aferir o cumprimento dos requisitos necessários a esta função.</w:t>
      </w:r>
    </w:p>
    <w:p>
      <w:pPr>
        <w:numPr>
          <w:numId w:val="0"/>
        </w:numPr>
        <w:overflowPunct w:val="0"/>
        <w:ind w:leftChars="0"/>
        <w:rPr>
          <w:rFonts w:hint="default" w:ascii="Calibri" w:hAnsi="Calibri" w:cs="Calibri"/>
          <w:b/>
          <w:color w:val="000000" w:themeColor="text1"/>
          <w:sz w:val="23"/>
          <w:szCs w:val="23"/>
          <w:u w:val="single"/>
          <w14:textFill>
            <w14:solidFill>
              <w14:schemeClr w14:val="tx1"/>
            </w14:solidFill>
          </w14:textFill>
        </w:rPr>
      </w:pPr>
      <w:r>
        <w:rPr>
          <w:rFonts w:hint="default" w:ascii="Calibri" w:hAnsi="Calibri" w:cs="Calibri"/>
          <w:b/>
          <w:color w:val="000000" w:themeColor="text1"/>
          <w:sz w:val="23"/>
          <w:szCs w:val="23"/>
          <w:u w:val="single"/>
          <w14:textFill>
            <w14:solidFill>
              <w14:schemeClr w14:val="tx1"/>
            </w14:solidFill>
          </w14:textFill>
        </w:rPr>
        <w:t xml:space="preserve">                                                                                                      </w:t>
      </w:r>
    </w:p>
    <w:p>
      <w:pPr>
        <w:pStyle w:val="39"/>
        <w:numPr>
          <w:numId w:val="0"/>
        </w:numPr>
        <w:tabs>
          <w:tab w:val="left" w:pos="567"/>
        </w:tabs>
        <w:overflowPunct w:val="0"/>
        <w:ind w:leftChars="0"/>
        <w:jc w:val="both"/>
        <w:rPr>
          <w:rFonts w:hint="default" w:ascii="Calibri" w:hAnsi="Calibri" w:cs="Calibri"/>
          <w:b/>
          <w:color w:val="000000" w:themeColor="text1"/>
          <w:sz w:val="20"/>
          <w:szCs w:val="20"/>
          <w:lang w:eastAsia="en-US"/>
          <w14:textFill>
            <w14:solidFill>
              <w14:schemeClr w14:val="tx1"/>
            </w14:solidFill>
          </w14:textFill>
        </w:rPr>
      </w:pPr>
    </w:p>
    <w:p>
      <w:pPr>
        <w:pStyle w:val="39"/>
        <w:numPr>
          <w:numId w:val="0"/>
        </w:numPr>
        <w:tabs>
          <w:tab w:val="left" w:pos="567"/>
        </w:tabs>
        <w:overflowPunct w:val="0"/>
        <w:ind w:leftChars="0"/>
        <w:jc w:val="both"/>
        <w:rPr>
          <w:rFonts w:hint="default" w:ascii="Calibri" w:hAnsi="Calibri" w:cs="Calibri"/>
          <w:b/>
          <w:color w:val="000000" w:themeColor="text1"/>
          <w:sz w:val="20"/>
          <w:szCs w:val="20"/>
          <w:lang w:eastAsia="en-US"/>
          <w14:textFill>
            <w14:solidFill>
              <w14:schemeClr w14:val="tx1"/>
            </w14:solidFill>
          </w14:textFill>
        </w:rPr>
      </w:pPr>
      <w:r>
        <w:rPr>
          <w:rFonts w:hint="default" w:ascii="Calibri" w:hAnsi="Calibri" w:cs="Calibri"/>
          <w:b/>
          <w:color w:val="000000" w:themeColor="text1"/>
          <w:sz w:val="20"/>
          <w:szCs w:val="20"/>
          <w:lang w:val="pt-BR" w:eastAsia="en-US"/>
          <w14:textFill>
            <w14:solidFill>
              <w14:schemeClr w14:val="tx1"/>
            </w14:solidFill>
          </w14:textFill>
        </w:rPr>
        <w:t xml:space="preserve">14.    </w:t>
      </w:r>
      <w:r>
        <w:rPr>
          <w:rFonts w:hint="default" w:ascii="Calibri" w:hAnsi="Calibri" w:cs="Calibri"/>
          <w:b/>
          <w:color w:val="000000" w:themeColor="text1"/>
          <w:sz w:val="20"/>
          <w:szCs w:val="20"/>
          <w:lang w:eastAsia="en-US"/>
          <w14:textFill>
            <w14:solidFill>
              <w14:schemeClr w14:val="tx1"/>
            </w14:solidFill>
          </w14:textFill>
        </w:rPr>
        <w:t>DAS DISPOSIÇÕES GERAIS</w:t>
      </w:r>
    </w:p>
    <w:p>
      <w:pPr>
        <w:widowControl w:val="0"/>
        <w:overflowPunct w:val="0"/>
        <w:jc w:val="both"/>
        <w:rPr>
          <w:rFonts w:hint="default" w:ascii="Calibri" w:hAnsi="Calibri" w:cs="Calibri"/>
          <w:bCs/>
          <w:sz w:val="20"/>
          <w:szCs w:val="20"/>
        </w:rPr>
      </w:pPr>
    </w:p>
    <w:p>
      <w:pPr>
        <w:pStyle w:val="39"/>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14.1 </w:t>
      </w:r>
      <w:r>
        <w:rPr>
          <w:rFonts w:hint="default" w:ascii="Calibri" w:hAnsi="Calibri" w:cs="Calibri"/>
          <w:color w:val="000000" w:themeColor="text1"/>
          <w:sz w:val="20"/>
          <w:szCs w:val="20"/>
          <w:lang w:eastAsia="en-US"/>
          <w14:textFill>
            <w14:solidFill>
              <w14:schemeClr w14:val="tx1"/>
            </w14:solidFill>
          </w14:textFill>
        </w:rPr>
        <w:t xml:space="preserve">Fica desde já determinado que a proposta apresentada pelo ganhador do certame deverá ser acompanhada pela planilha de custos e formação de preços. </w:t>
      </w:r>
    </w:p>
    <w:p>
      <w:pPr>
        <w:tabs>
          <w:tab w:val="left" w:pos="1515"/>
        </w:tabs>
        <w:overflowPunct w:val="0"/>
        <w:rPr>
          <w:rFonts w:hint="default" w:ascii="Calibri" w:hAnsi="Calibri" w:cs="Calibri"/>
          <w:color w:val="000000" w:themeColor="text1"/>
          <w:sz w:val="20"/>
          <w:szCs w:val="20"/>
          <w14:textFill>
            <w14:solidFill>
              <w14:schemeClr w14:val="tx1"/>
            </w14:solidFill>
          </w14:textFill>
        </w:rPr>
      </w:pPr>
    </w:p>
    <w:p>
      <w:pPr>
        <w:pStyle w:val="39"/>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14.2 </w:t>
      </w:r>
      <w:r>
        <w:rPr>
          <w:rFonts w:hint="default" w:ascii="Calibri" w:hAnsi="Calibri" w:cs="Calibri"/>
          <w:color w:val="000000" w:themeColor="text1"/>
          <w:sz w:val="20"/>
          <w:szCs w:val="20"/>
          <w:lang w:eastAsia="en-US"/>
          <w14:textFill>
            <w14:solidFill>
              <w14:schemeClr w14:val="tx1"/>
            </w14:solidFill>
          </w14:textFill>
        </w:rPr>
        <w:t>Termo de referência elaborado por esta subscritora auxiliada pela equipe técnica de manutenção desta Secretaria Municipal de XXXXXXXXXX.</w:t>
      </w:r>
    </w:p>
    <w:p>
      <w:pPr>
        <w:widowControl w:val="0"/>
        <w:overflowPunct w:val="0"/>
        <w:ind w:firstLine="851"/>
        <w:jc w:val="both"/>
        <w:rPr>
          <w:rFonts w:hint="default" w:ascii="Calibri" w:hAnsi="Calibri" w:cs="Calibri"/>
          <w:b/>
          <w:bCs/>
          <w:sz w:val="20"/>
          <w:szCs w:val="20"/>
        </w:rPr>
      </w:pPr>
    </w:p>
    <w:p>
      <w:pPr>
        <w:widowControl w:val="0"/>
        <w:overflowPunct w:val="0"/>
        <w:ind w:left="41"/>
        <w:jc w:val="center"/>
        <w:rPr>
          <w:rFonts w:hint="default" w:ascii="Calibri" w:hAnsi="Calibri" w:cs="Calibri"/>
          <w:bCs/>
          <w:sz w:val="20"/>
          <w:szCs w:val="20"/>
        </w:rPr>
      </w:pPr>
      <w:r>
        <w:rPr>
          <w:rFonts w:hint="default" w:ascii="Calibri" w:hAnsi="Calibri" w:cs="Calibri"/>
          <w:bCs/>
          <w:sz w:val="20"/>
          <w:szCs w:val="20"/>
        </w:rPr>
        <w:t>Nova Friburgo/RJ, ___ de ___________ de 20___.</w:t>
      </w:r>
    </w:p>
    <w:p>
      <w:pPr>
        <w:widowControl w:val="0"/>
        <w:overflowPunct w:val="0"/>
        <w:ind w:left="41"/>
        <w:rPr>
          <w:rFonts w:hint="default" w:ascii="Calibri" w:hAnsi="Calibri" w:cs="Calibri"/>
          <w:bCs/>
          <w:sz w:val="20"/>
          <w:szCs w:val="20"/>
        </w:rPr>
      </w:pPr>
    </w:p>
    <w:tbl>
      <w:tblPr>
        <w:tblStyle w:val="2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bottom w:val="nil"/>
            </w:tcBorders>
            <w:shd w:val="clear" w:color="auto" w:fill="D7D7D7" w:themeFill="background1" w:themeFillShade="D8"/>
          </w:tcPr>
          <w:p>
            <w:pPr>
              <w:jc w:val="center"/>
              <w:rPr>
                <w:rStyle w:val="33"/>
                <w:rFonts w:hint="default" w:ascii="Calibri" w:hAnsi="Calibri" w:cs="Calibri"/>
                <w:b/>
                <w:sz w:val="20"/>
                <w:szCs w:val="20"/>
              </w:rPr>
            </w:pPr>
            <w:r>
              <w:rPr>
                <w:rStyle w:val="33"/>
                <w:rFonts w:hint="default" w:ascii="Calibri" w:hAnsi="Calibri" w:cs="Calibri"/>
                <w:b/>
                <w:sz w:val="20"/>
                <w:szCs w:val="20"/>
              </w:rPr>
              <w:t>GESTOR:</w:t>
            </w:r>
          </w:p>
        </w:tc>
        <w:tc>
          <w:tcPr>
            <w:tcW w:w="4678" w:type="dxa"/>
            <w:tcBorders>
              <w:bottom w:val="nil"/>
            </w:tcBorders>
            <w:shd w:val="clear" w:color="auto" w:fill="D7D7D7" w:themeFill="background1" w:themeFillShade="D8"/>
          </w:tcPr>
          <w:p>
            <w:pPr>
              <w:jc w:val="center"/>
              <w:rPr>
                <w:rStyle w:val="33"/>
                <w:rFonts w:hint="default" w:ascii="Calibri" w:hAnsi="Calibri" w:cs="Calibri"/>
                <w:b/>
                <w:sz w:val="20"/>
                <w:szCs w:val="20"/>
              </w:rPr>
            </w:pPr>
            <w:r>
              <w:rPr>
                <w:rStyle w:val="33"/>
                <w:rFonts w:hint="default" w:ascii="Calibri" w:hAnsi="Calibri" w:cs="Calibri"/>
                <w:b/>
                <w:sz w:val="20"/>
                <w:szCs w:val="20"/>
              </w:rPr>
              <w:t>APOIO TÉCNICO: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___________________________</w:t>
            </w:r>
          </w:p>
        </w:tc>
        <w:tc>
          <w:tcPr>
            <w:tcW w:w="4678"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b/>
                <w:sz w:val="20"/>
                <w:szCs w:val="20"/>
              </w:rPr>
            </w:pPr>
            <w:r>
              <w:rPr>
                <w:rStyle w:val="33"/>
                <w:rFonts w:hint="default" w:ascii="Calibri" w:hAnsi="Calibri" w:cs="Calibri"/>
                <w:b/>
                <w:sz w:val="20"/>
                <w:szCs w:val="20"/>
              </w:rPr>
              <w:t>&lt;Nome&gt;</w:t>
            </w:r>
          </w:p>
        </w:tc>
        <w:tc>
          <w:tcPr>
            <w:tcW w:w="4678" w:type="dxa"/>
            <w:tcBorders>
              <w:top w:val="nil"/>
              <w:bottom w:val="nil"/>
            </w:tcBorders>
          </w:tcPr>
          <w:p>
            <w:pPr>
              <w:jc w:val="center"/>
              <w:rPr>
                <w:rStyle w:val="33"/>
                <w:rFonts w:hint="default" w:ascii="Calibri" w:hAnsi="Calibri" w:cs="Calibri"/>
                <w:b/>
                <w:sz w:val="20"/>
                <w:szCs w:val="20"/>
              </w:rPr>
            </w:pPr>
            <w:r>
              <w:rPr>
                <w:rStyle w:val="33"/>
                <w:rFonts w:hint="default" w:ascii="Calibri" w:hAnsi="Calibri" w:cs="Calibri"/>
                <w:b/>
                <w:sz w:val="20"/>
                <w:szCs w:val="20"/>
              </w:rPr>
              <w:t>&lt;Nome&gt;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single" w:color="auto" w:sz="4" w:space="0"/>
            </w:tcBorders>
          </w:tcPr>
          <w:p>
            <w:pPr>
              <w:jc w:val="center"/>
              <w:rPr>
                <w:rStyle w:val="33"/>
                <w:rFonts w:hint="default" w:ascii="Calibri" w:hAnsi="Calibri" w:cs="Calibri"/>
                <w:sz w:val="20"/>
                <w:szCs w:val="20"/>
              </w:rPr>
            </w:pPr>
            <w:r>
              <w:rPr>
                <w:rStyle w:val="33"/>
                <w:rFonts w:hint="default" w:ascii="Calibri" w:hAnsi="Calibri" w:cs="Calibri"/>
                <w:sz w:val="20"/>
                <w:szCs w:val="20"/>
              </w:rPr>
              <w:t>Matr.: &lt;Nº matrícula&gt;</w:t>
            </w:r>
          </w:p>
        </w:tc>
        <w:tc>
          <w:tcPr>
            <w:tcW w:w="4678" w:type="dxa"/>
            <w:tcBorders>
              <w:top w:val="nil"/>
              <w:bottom w:val="single" w:color="auto" w:sz="4" w:space="0"/>
            </w:tcBorders>
          </w:tcPr>
          <w:p>
            <w:pPr>
              <w:jc w:val="center"/>
              <w:rPr>
                <w:rStyle w:val="33"/>
                <w:rFonts w:hint="default" w:ascii="Calibri" w:hAnsi="Calibri" w:cs="Calibri"/>
                <w:sz w:val="20"/>
                <w:szCs w:val="20"/>
              </w:rPr>
            </w:pPr>
            <w:r>
              <w:rPr>
                <w:rStyle w:val="33"/>
                <w:rFonts w:hint="default" w:ascii="Calibri" w:hAnsi="Calibri" w:cs="Calibri"/>
                <w:sz w:val="20"/>
                <w:szCs w:val="20"/>
              </w:rPr>
              <w:t>Matr.: &lt;Nº matrícula&gt;</w:t>
            </w:r>
          </w:p>
        </w:tc>
      </w:tr>
    </w:tbl>
    <w:p>
      <w:pPr>
        <w:rPr>
          <w:rStyle w:val="33"/>
          <w:rFonts w:hint="default" w:ascii="Calibri" w:hAnsi="Calibri" w:cs="Calibri"/>
          <w:sz w:val="20"/>
          <w:szCs w:val="20"/>
        </w:rPr>
      </w:pPr>
    </w:p>
    <w:p>
      <w:pPr>
        <w:overflowPunct w:val="0"/>
        <w:jc w:val="both"/>
        <w:rPr>
          <w:rFonts w:hint="default" w:ascii="Calibri" w:hAnsi="Calibri" w:cs="Calibri"/>
          <w:b/>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 xml:space="preserve">Ratifico o presente termo de referência, nos termos da Lei Federal n° </w:t>
      </w:r>
      <w:r>
        <w:rPr>
          <w:rFonts w:hint="default" w:ascii="Calibri" w:hAnsi="Calibri" w:cs="Calibri"/>
          <w:color w:val="000000" w:themeColor="text1"/>
          <w:sz w:val="20"/>
          <w:szCs w:val="20"/>
          <w:lang w:val="pt-BR"/>
          <w14:textFill>
            <w14:solidFill>
              <w14:schemeClr w14:val="tx1"/>
            </w14:solidFill>
          </w14:textFill>
        </w:rPr>
        <w:t>14.133/21</w:t>
      </w:r>
      <w:r>
        <w:rPr>
          <w:rFonts w:hint="default" w:ascii="Calibri" w:hAnsi="Calibri" w:cs="Calibri"/>
          <w:color w:val="000000" w:themeColor="text1"/>
          <w:sz w:val="20"/>
          <w:szCs w:val="20"/>
          <w14:textFill>
            <w14:solidFill>
              <w14:schemeClr w14:val="tx1"/>
            </w14:solidFill>
          </w14:textFill>
        </w:rPr>
        <w:t xml:space="preserve">, bem como autorizo </w:t>
      </w:r>
      <w:r>
        <w:rPr>
          <w:rFonts w:hint="default" w:ascii="Calibri" w:hAnsi="Calibri" w:cs="Calibri"/>
          <w:b/>
          <w:bCs/>
          <w:color w:val="000000" w:themeColor="text1"/>
          <w:sz w:val="20"/>
          <w:szCs w:val="20"/>
          <w14:textFill>
            <w14:solidFill>
              <w14:schemeClr w14:val="tx1"/>
            </w14:solidFill>
          </w14:textFill>
        </w:rPr>
        <w:t>O PROSSEGUIMENTO</w:t>
      </w:r>
      <w:r>
        <w:rPr>
          <w:rFonts w:hint="default" w:ascii="Calibri" w:hAnsi="Calibri" w:cs="Calibri"/>
          <w:b/>
          <w:color w:val="000000" w:themeColor="text1"/>
          <w:sz w:val="20"/>
          <w:szCs w:val="20"/>
          <w14:textFill>
            <w14:solidFill>
              <w14:schemeClr w14:val="tx1"/>
            </w14:solidFill>
          </w14:textFill>
        </w:rPr>
        <w:t xml:space="preserve"> DO PROCESSO ADMINISTRATIVO.</w:t>
      </w:r>
    </w:p>
    <w:p>
      <w:pPr>
        <w:spacing w:line="360" w:lineRule="auto"/>
        <w:jc w:val="center"/>
        <w:rPr>
          <w:rFonts w:hint="default" w:ascii="Calibri" w:hAnsi="Calibri" w:cs="Calibri"/>
          <w:b/>
          <w:color w:val="000000" w:themeColor="text1"/>
          <w:sz w:val="13"/>
          <w:szCs w:val="13"/>
          <w14:textFill>
            <w14:solidFill>
              <w14:schemeClr w14:val="tx1"/>
            </w14:solidFill>
          </w14:textFill>
        </w:rPr>
      </w:pPr>
    </w:p>
    <w:p>
      <w:pPr>
        <w:spacing w:line="360" w:lineRule="auto"/>
        <w:jc w:val="center"/>
        <w:rPr>
          <w:rFonts w:hint="default" w:ascii="Calibri" w:hAnsi="Calibri" w:cs="Calibri"/>
          <w:sz w:val="20"/>
          <w:szCs w:val="20"/>
        </w:rPr>
      </w:pPr>
      <w:r>
        <w:rPr>
          <w:rFonts w:hint="default" w:ascii="Calibri" w:hAnsi="Calibri" w:cs="Calibri"/>
          <w:sz w:val="20"/>
          <w:szCs w:val="20"/>
        </w:rPr>
        <w:t>Ciente, de acordo:</w:t>
      </w:r>
    </w:p>
    <w:p>
      <w:pPr>
        <w:jc w:val="center"/>
        <w:rPr>
          <w:rFonts w:hint="default" w:ascii="Calibri" w:hAnsi="Calibri" w:cs="Calibri"/>
        </w:rPr>
      </w:pPr>
      <w:r>
        <w:rPr>
          <w:rFonts w:hint="default" w:ascii="Calibri" w:hAnsi="Calibri" w:cs="Calibri"/>
        </w:rPr>
        <w:t>_____________________________________</w:t>
      </w:r>
    </w:p>
    <w:p>
      <w:pPr>
        <w:jc w:val="center"/>
        <w:rPr>
          <w:rFonts w:hint="default" w:ascii="Calibri" w:hAnsi="Calibri" w:cs="Calibri"/>
          <w:b/>
          <w:bCs/>
          <w:iCs/>
        </w:rPr>
      </w:pPr>
      <w:r>
        <w:rPr>
          <w:rFonts w:hint="default" w:ascii="Calibri" w:hAnsi="Calibri" w:cs="Calibri"/>
          <w:b/>
          <w:bCs/>
          <w:iCs/>
        </w:rPr>
        <w:t>&lt;Nome&gt;</w:t>
      </w:r>
    </w:p>
    <w:p>
      <w:pPr>
        <w:jc w:val="center"/>
        <w:rPr>
          <w:rFonts w:hint="default" w:ascii="Calibri" w:hAnsi="Calibri" w:cs="Calibri"/>
          <w:iCs/>
          <w:sz w:val="20"/>
          <w:szCs w:val="20"/>
        </w:rPr>
      </w:pPr>
      <w:r>
        <w:rPr>
          <w:rFonts w:hint="default" w:ascii="Calibri" w:hAnsi="Calibri" w:cs="Calibri"/>
          <w:iCs/>
          <w:sz w:val="20"/>
          <w:szCs w:val="20"/>
        </w:rPr>
        <w:t>&lt;Secretário(a) Municipal de _______________&gt;</w:t>
      </w:r>
    </w:p>
    <w:p>
      <w:pPr>
        <w:jc w:val="center"/>
        <w:rPr>
          <w:rFonts w:hint="default" w:ascii="Calibri" w:hAnsi="Calibri" w:cs="Calibri"/>
        </w:rPr>
      </w:pPr>
      <w:r>
        <w:rPr>
          <w:rFonts w:hint="default" w:ascii="Calibri" w:hAnsi="Calibri" w:cs="Calibri"/>
          <w:iCs/>
          <w:sz w:val="16"/>
          <w:szCs w:val="16"/>
        </w:rPr>
        <w:t>Matr.: &lt;nº da matrícula&gt;</w:t>
      </w:r>
    </w:p>
    <w:sectPr>
      <w:headerReference r:id="rId3" w:type="default"/>
      <w:footerReference r:id="rId4" w:type="default"/>
      <w:pgSz w:w="11906" w:h="16838"/>
      <w:pgMar w:top="1701" w:right="1134" w:bottom="567" w:left="1701" w:header="425" w:footer="284"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type Corsiva">
    <w:altName w:val="Mongolian Baiti"/>
    <w:panose1 w:val="03010101010201010101"/>
    <w:charset w:val="00"/>
    <w:family w:val="script"/>
    <w:pitch w:val="default"/>
    <w:sig w:usb0="00000000" w:usb1="00000000" w:usb2="00000000" w:usb3="00000000" w:csb0="0000009F" w:csb1="00000000"/>
  </w:font>
  <w:font w:name="Comic Sans MS">
    <w:panose1 w:val="030F0702030302020204"/>
    <w:charset w:val="00"/>
    <w:family w:val="script"/>
    <w:pitch w:val="default"/>
    <w:sig w:usb0="00000287" w:usb1="00000013"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Liberation Sans">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Ecofont_Spranq_eco_Sans">
    <w:altName w:val="Cambria"/>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yriadPro-Regular">
    <w:altName w:val="Segoe Print"/>
    <w:panose1 w:val="00000000000000000000"/>
    <w:charset w:val="00"/>
    <w:family w:val="roman"/>
    <w:pitch w:val="default"/>
    <w:sig w:usb0="0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544326"/>
    </w:sdtPr>
    <w:sdtContent>
      <w:p>
        <w:pPr>
          <w:pStyle w:val="20"/>
          <w:jc w:val="right"/>
          <w:rPr>
            <w:rFonts w:ascii="Calibri" w:hAnsi="Calibri"/>
            <w:sz w:val="20"/>
            <w:szCs w:val="20"/>
          </w:rPr>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 xml:space="preserve">PAGE</w:instrText>
        </w:r>
        <w:r>
          <w:rPr>
            <w:rFonts w:ascii="Calibri" w:hAnsi="Calibri" w:cs="Calibri"/>
            <w:bCs/>
            <w:i/>
            <w:sz w:val="12"/>
            <w:szCs w:val="12"/>
          </w:rPr>
          <w:fldChar w:fldCharType="separate"/>
        </w:r>
        <w:r>
          <w:rPr>
            <w:rFonts w:ascii="Calibri" w:hAnsi="Calibri" w:cs="Calibri"/>
            <w:bCs/>
            <w:i/>
            <w:sz w:val="12"/>
            <w:szCs w:val="12"/>
          </w:rPr>
          <w:t>1</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 xml:space="preserve">NUMPAGES</w:instrText>
        </w:r>
        <w:r>
          <w:rPr>
            <w:rFonts w:ascii="Calibri" w:hAnsi="Calibri" w:cs="Calibri"/>
            <w:bCs/>
            <w:i/>
            <w:sz w:val="12"/>
            <w:szCs w:val="12"/>
          </w:rPr>
          <w:fldChar w:fldCharType="separate"/>
        </w:r>
        <w:r>
          <w:rPr>
            <w:rFonts w:ascii="Calibri" w:hAnsi="Calibri" w:cs="Calibri"/>
            <w:bCs/>
            <w:i/>
            <w:sz w:val="12"/>
            <w:szCs w:val="12"/>
          </w:rPr>
          <w:t>11</w:t>
        </w:r>
        <w:r>
          <w:rPr>
            <w:rFonts w:ascii="Calibri" w:hAnsi="Calibri" w:cs="Calibri"/>
            <w:bCs/>
            <w:i/>
            <w:sz w:val="12"/>
            <w:szCs w:val="12"/>
          </w:rPr>
          <w:fldChar w:fldCharType="end"/>
        </w:r>
      </w:p>
      <w:p>
        <w:pPr>
          <w:pStyle w:val="20"/>
          <w:jc w:val="right"/>
          <w:rPr>
            <w:i/>
            <w:sz w:val="16"/>
            <w:szCs w:val="16"/>
          </w:rPr>
        </w:pPr>
      </w:p>
    </w:sdtContent>
  </w:sdt>
  <w:p>
    <w:pPr>
      <w:pStyle w:val="20"/>
      <w:jc w:val="center"/>
      <w:rPr>
        <w:rFonts w:ascii="Calibri" w:hAnsi="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6"/>
      <w:rPr>
        <w:rFonts w:ascii="Arial" w:hAnsi="Arial" w:cs="Arial"/>
        <w:sz w:val="16"/>
        <w:szCs w:val="18"/>
      </w:rPr>
    </w:pPr>
    <w:r>
      <mc:AlternateContent>
        <mc:Choice Requires="wps">
          <w:drawing>
            <wp:anchor distT="0" distB="0" distL="0" distR="0" simplePos="0" relativeHeight="251659264" behindDoc="1" locked="0" layoutInCell="1" allowOverlap="1">
              <wp:simplePos x="0" y="0"/>
              <wp:positionH relativeFrom="column">
                <wp:posOffset>3952875</wp:posOffset>
              </wp:positionH>
              <wp:positionV relativeFrom="paragraph">
                <wp:posOffset>-106045</wp:posOffset>
              </wp:positionV>
              <wp:extent cx="1877060" cy="561975"/>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76320" cy="561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wps:txbx>
                    <wps:bodyPr>
                      <a:noAutofit/>
                    </wps:bodyPr>
                  </wps:wsp>
                </a:graphicData>
              </a:graphic>
            </wp:anchor>
          </w:drawing>
        </mc:Choice>
        <mc:Fallback>
          <w:pict>
            <v:rect id="Caixa de texto 6" o:spid="_x0000_s1026" o:spt="1" style="position:absolute;left:0pt;margin-left:311.25pt;margin-top:-8.35pt;height:44.25pt;width:147.8pt;z-index:-251657216;mso-width-relative:page;mso-height-relative:page;" fillcolor="#FFFFFF" filled="t" stroked="t" coordsize="21600,21600" o:gfxdata="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jY+c7dAAAACgEAAA8AAAAAAAAAAQAgAAAAIgAAAGRy&#10;cy9kb3ducmV2LnhtbFBLAQIUABQAAAAIAIdO4kBeiezgxwEAALwDAAAOAAAAAAAAAAEAIAAAACwB&#10;AABkcnMvZTJvRG9jLnhtbFBLBQYAAAAABgAGAFkBAABlBQAAAAA=&#10;">
              <v:fill on="t" focussize="0,0"/>
              <v:stroke weight="0.737007874015748pt" color="#000000" joinstyle="round"/>
              <v:imagedata o:title=""/>
              <o:lock v:ext="edit" aspectratio="f"/>
              <v:textbo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v:textbox>
            </v:rect>
          </w:pict>
        </mc:Fallback>
      </mc:AlternateContent>
    </w:r>
    <w:r>
      <w:drawing>
        <wp:anchor distT="0" distB="0" distL="114300" distR="114300" simplePos="0" relativeHeight="251659264" behindDoc="0" locked="0" layoutInCell="1" allowOverlap="1">
          <wp:simplePos x="0" y="0"/>
          <wp:positionH relativeFrom="column">
            <wp:posOffset>-267335</wp:posOffset>
          </wp:positionH>
          <wp:positionV relativeFrom="paragraph">
            <wp:posOffset>-50165</wp:posOffset>
          </wp:positionV>
          <wp:extent cx="494030" cy="590550"/>
          <wp:effectExtent l="0" t="0" r="0" b="0"/>
          <wp:wrapTight wrapText="bothSides">
            <wp:wrapPolygon>
              <wp:start x="-191" y="0"/>
              <wp:lineTo x="-191" y="20719"/>
              <wp:lineTo x="20814" y="20719"/>
              <wp:lineTo x="20814" y="0"/>
              <wp:lineTo x="-191"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a:xfrm>
                    <a:off x="0" y="0"/>
                    <a:ext cx="494030" cy="590550"/>
                  </a:xfrm>
                  <a:prstGeom prst="rect">
                    <a:avLst/>
                  </a:prstGeom>
                </pic:spPr>
              </pic:pic>
            </a:graphicData>
          </a:graphic>
        </wp:anchor>
      </w:drawing>
    </w:r>
    <w:r>
      <w:rPr>
        <w:rFonts w:ascii="Arial" w:hAnsi="Arial" w:cs="Arial"/>
        <w:sz w:val="16"/>
        <w:szCs w:val="18"/>
      </w:rPr>
      <w:t>Estado do Rio de Janeiro</w:t>
    </w:r>
  </w:p>
  <w:p>
    <w:pPr>
      <w:ind w:left="426"/>
      <w:rPr>
        <w:b/>
        <w:sz w:val="16"/>
        <w:szCs w:val="18"/>
      </w:rPr>
    </w:pPr>
    <w:r>
      <mc:AlternateContent>
        <mc:Choice Requires="wps">
          <w:drawing>
            <wp:anchor distT="0" distB="0" distL="0" distR="0" simplePos="0" relativeHeight="251659264" behindDoc="1" locked="0" layoutInCell="1" allowOverlap="1">
              <wp:simplePos x="0" y="0"/>
              <wp:positionH relativeFrom="column">
                <wp:posOffset>2771140</wp:posOffset>
              </wp:positionH>
              <wp:positionV relativeFrom="paragraph">
                <wp:posOffset>43180</wp:posOffset>
              </wp:positionV>
              <wp:extent cx="1009650" cy="276225"/>
              <wp:effectExtent l="0" t="0" r="635" b="10160"/>
              <wp:wrapNone/>
              <wp:docPr id="4" name="Caixa de Texto 2"/>
              <wp:cNvGraphicFramePr/>
              <a:graphic xmlns:a="http://schemas.openxmlformats.org/drawingml/2006/main">
                <a:graphicData uri="http://schemas.microsoft.com/office/word/2010/wordprocessingShape">
                  <wps:wsp>
                    <wps:cNvSpPr/>
                    <wps:spPr>
                      <a:xfrm>
                        <a:off x="0" y="0"/>
                        <a:ext cx="1009080" cy="2757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VII</w:t>
                          </w:r>
                        </w:p>
                      </w:txbxContent>
                    </wps:txbx>
                    <wps:bodyPr>
                      <a:noAutofit/>
                    </wps:bodyPr>
                  </wps:wsp>
                </a:graphicData>
              </a:graphic>
            </wp:anchor>
          </w:drawing>
        </mc:Choice>
        <mc:Fallback>
          <w:pict>
            <v:rect id="Caixa de Texto 2" o:spid="_x0000_s1026" o:spt="1" style="position:absolute;left:0pt;margin-left:218.2pt;margin-top:3.4pt;height:21.75pt;width:79.5pt;z-index:-251657216;mso-width-relative:page;mso-height-relative:page;" fillcolor="#FFFFFF" filled="t" stroked="f" coordsize="21600,21600" o:gfxdata="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7RE91wAAAAgBAAAPAAAAAAAAAAEAIAAAACIAAABkcnMvZG93bnJldi54bWxQSwEC&#10;FAAUAAAACACHTuJAnPABlbwBAACJAwAADgAAAAAAAAABACAAAAAmAQAAZHJzL2Uyb0RvYy54bWxQ&#10;SwUGAAAAAAYABgBZAQAAVAUAAAAA&#10;">
              <v:fill on="t" focussize="0,0"/>
              <v:stroke on="f" weight="0.737007874015748pt"/>
              <v:imagedata o:title=""/>
              <o:lock v:ext="edit" aspectratio="f"/>
              <v:textbo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VII</w:t>
                    </w:r>
                  </w:p>
                </w:txbxContent>
              </v:textbox>
            </v:rect>
          </w:pict>
        </mc:Fallback>
      </mc:AlternateContent>
    </w:r>
    <w:r>
      <w:rPr>
        <w:rFonts w:ascii="Arial" w:hAnsi="Arial" w:cs="Arial"/>
        <w:b/>
        <w:sz w:val="16"/>
        <w:szCs w:val="18"/>
      </w:rPr>
      <w:t>PREFEITURA MUNICIPAL DE NOVA FRIBURGO</w:t>
    </w:r>
  </w:p>
  <w:p>
    <w:pPr>
      <w:pStyle w:val="3"/>
      <w:ind w:left="426"/>
      <w:rPr>
        <w:b w:val="0"/>
        <w:sz w:val="16"/>
        <w:szCs w:val="18"/>
      </w:rPr>
    </w:pPr>
    <w:r>
      <w:rPr>
        <w:b w:val="0"/>
        <w:sz w:val="16"/>
        <w:szCs w:val="18"/>
      </w:rPr>
      <w:t>&lt;Secretaria&gt;</w:t>
    </w:r>
  </w:p>
  <w:p>
    <w:pPr>
      <w:ind w:left="426"/>
      <w:rPr>
        <w:rFonts w:ascii="Arial" w:hAnsi="Arial" w:cs="Arial"/>
        <w:sz w:val="16"/>
        <w:szCs w:val="18"/>
        <w:lang w:eastAsia="ar-SA"/>
      </w:rPr>
    </w:pPr>
    <w:r>
      <w:rPr>
        <w:rFonts w:ascii="Arial" w:hAnsi="Arial" w:cs="Arial"/>
        <w:sz w:val="16"/>
        <w:szCs w:val="18"/>
        <w:lang w:eastAsia="ar-SA"/>
      </w:rPr>
      <w:t>&lt;Subsecretaria&gt;</w:t>
    </w:r>
  </w:p>
  <w:p>
    <w:pPr>
      <w:ind w:left="426"/>
      <w:rPr>
        <w:rFonts w:ascii="Arial" w:hAnsi="Arial" w:cs="Arial"/>
        <w:sz w:val="16"/>
        <w:szCs w:val="18"/>
        <w:lang w:eastAsia="ar-SA"/>
      </w:rPr>
    </w:pPr>
  </w:p>
  <w:p>
    <w:pPr>
      <w:pStyle w:val="21"/>
    </w:pPr>
    <w:r>
      <mc:AlternateContent>
        <mc:Choice Requires="wps">
          <w:drawing>
            <wp:anchor distT="0" distB="0" distL="0" distR="0" simplePos="0" relativeHeight="251659264" behindDoc="1" locked="0" layoutInCell="1" allowOverlap="1">
              <wp:simplePos x="0" y="0"/>
              <wp:positionH relativeFrom="column">
                <wp:posOffset>-384175</wp:posOffset>
              </wp:positionH>
              <wp:positionV relativeFrom="paragraph">
                <wp:posOffset>120650</wp:posOffset>
              </wp:positionV>
              <wp:extent cx="6344285" cy="21590"/>
              <wp:effectExtent l="0" t="4445" r="0" b="12700"/>
              <wp:wrapNone/>
              <wp:docPr id="6" name="Conector Reto 5"/>
              <wp:cNvGraphicFramePr/>
              <a:graphic xmlns:a="http://schemas.openxmlformats.org/drawingml/2006/main">
                <a:graphicData uri="http://schemas.microsoft.com/office/word/2010/wordprocessingShape">
                  <wps:wsp>
                    <wps:cNvCnPr/>
                    <wps:spPr>
                      <a:xfrm flipV="1">
                        <a:off x="0" y="0"/>
                        <a:ext cx="6343560" cy="2088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Conector Reto 5" o:spid="_x0000_s1026" o:spt="20" style="position:absolute;left:0pt;flip:y;margin-left:-30.25pt;margin-top:9.5pt;height:1.7pt;width:499.55pt;z-index:-251657216;mso-width-relative:page;mso-height-relative:page;" filled="f" stroked="t" coordsize="21600,21600" o:gfxdata="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xC+81wAAAAkBAAAPAAAAAAAA&#10;AAEAIAAAACIAAABkcnMvZG93bnJldi54bWxQSwECFAAUAAAACACHTuJAbP5lxdoBAAC9AwAADgAA&#10;AAAAAAABACAAAAAmAQAAZHJzL2Uyb0RvYy54bWxQSwUGAAAAAAYABgBZAQAAcgUAAAAA&#10;">
              <v:fill on="f" focussize="0,0"/>
              <v:stroke weight="0.5pt"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35973"/>
    <w:multiLevelType w:val="multilevel"/>
    <w:tmpl w:val="01135973"/>
    <w:lvl w:ilvl="0" w:tentative="0">
      <w:start w:val="9"/>
      <w:numFmt w:val="decimal"/>
      <w:lvlText w:val="%1."/>
      <w:lvlJc w:val="left"/>
      <w:pPr>
        <w:ind w:left="504" w:hanging="504"/>
      </w:pPr>
      <w:rPr>
        <w:rFonts w:hint="default" w:eastAsia="Arial"/>
        <w:color w:val="FF0000"/>
      </w:rPr>
    </w:lvl>
    <w:lvl w:ilvl="1" w:tentative="0">
      <w:start w:val="3"/>
      <w:numFmt w:val="decimal"/>
      <w:lvlText w:val="%1.%2."/>
      <w:lvlJc w:val="left"/>
      <w:pPr>
        <w:ind w:left="504" w:hanging="504"/>
      </w:pPr>
      <w:rPr>
        <w:rFonts w:hint="default" w:eastAsia="Arial"/>
        <w:color w:val="FF0000"/>
      </w:rPr>
    </w:lvl>
    <w:lvl w:ilvl="2" w:tentative="0">
      <w:start w:val="1"/>
      <w:numFmt w:val="decimal"/>
      <w:lvlText w:val="%1.%2.%3."/>
      <w:lvlJc w:val="left"/>
      <w:pPr>
        <w:ind w:left="720" w:hanging="720"/>
      </w:pPr>
      <w:rPr>
        <w:rFonts w:hint="default" w:eastAsia="Arial"/>
        <w:color w:val="auto"/>
      </w:rPr>
    </w:lvl>
    <w:lvl w:ilvl="3" w:tentative="0">
      <w:start w:val="1"/>
      <w:numFmt w:val="decimal"/>
      <w:lvlText w:val="%1.%2.%3.%4."/>
      <w:lvlJc w:val="left"/>
      <w:pPr>
        <w:ind w:left="720" w:hanging="720"/>
      </w:pPr>
      <w:rPr>
        <w:rFonts w:hint="default" w:eastAsia="Arial"/>
        <w:color w:val="auto"/>
      </w:rPr>
    </w:lvl>
    <w:lvl w:ilvl="4" w:tentative="0">
      <w:start w:val="1"/>
      <w:numFmt w:val="decimal"/>
      <w:lvlText w:val="%1.%2.%3.%4.%5."/>
      <w:lvlJc w:val="left"/>
      <w:pPr>
        <w:ind w:left="1080" w:hanging="1080"/>
      </w:pPr>
      <w:rPr>
        <w:rFonts w:hint="default" w:eastAsia="Arial"/>
        <w:color w:val="auto"/>
      </w:rPr>
    </w:lvl>
    <w:lvl w:ilvl="5" w:tentative="0">
      <w:start w:val="1"/>
      <w:numFmt w:val="decimal"/>
      <w:lvlText w:val="%1.%2.%3.%4.%5.%6."/>
      <w:lvlJc w:val="left"/>
      <w:pPr>
        <w:ind w:left="1080" w:hanging="1080"/>
      </w:pPr>
      <w:rPr>
        <w:rFonts w:hint="default" w:eastAsia="Arial"/>
        <w:color w:val="FF0000"/>
      </w:rPr>
    </w:lvl>
    <w:lvl w:ilvl="6" w:tentative="0">
      <w:start w:val="1"/>
      <w:numFmt w:val="decimal"/>
      <w:lvlText w:val="%1.%2.%3.%4.%5.%6.%7."/>
      <w:lvlJc w:val="left"/>
      <w:pPr>
        <w:ind w:left="1440" w:hanging="1440"/>
      </w:pPr>
      <w:rPr>
        <w:rFonts w:hint="default" w:eastAsia="Arial"/>
        <w:color w:val="FF0000"/>
      </w:rPr>
    </w:lvl>
    <w:lvl w:ilvl="7" w:tentative="0">
      <w:start w:val="1"/>
      <w:numFmt w:val="decimal"/>
      <w:lvlText w:val="%1.%2.%3.%4.%5.%6.%7.%8."/>
      <w:lvlJc w:val="left"/>
      <w:pPr>
        <w:ind w:left="1440" w:hanging="1440"/>
      </w:pPr>
      <w:rPr>
        <w:rFonts w:hint="default" w:eastAsia="Arial"/>
        <w:color w:val="FF0000"/>
      </w:rPr>
    </w:lvl>
    <w:lvl w:ilvl="8" w:tentative="0">
      <w:start w:val="1"/>
      <w:numFmt w:val="decimal"/>
      <w:lvlText w:val="%1.%2.%3.%4.%5.%6.%7.%8.%9."/>
      <w:lvlJc w:val="left"/>
      <w:pPr>
        <w:ind w:left="1800" w:hanging="1800"/>
      </w:pPr>
      <w:rPr>
        <w:rFonts w:hint="default" w:eastAsia="Arial"/>
        <w:color w:val="FF0000"/>
      </w:rPr>
    </w:lvl>
  </w:abstractNum>
  <w:abstractNum w:abstractNumId="1">
    <w:nsid w:val="04B12A29"/>
    <w:multiLevelType w:val="multilevel"/>
    <w:tmpl w:val="04B12A29"/>
    <w:lvl w:ilvl="0" w:tentative="0">
      <w:start w:val="11"/>
      <w:numFmt w:val="decimal"/>
      <w:lvlText w:val="%1."/>
      <w:lvlJc w:val="right"/>
      <w:pPr>
        <w:ind w:left="360" w:hanging="360"/>
      </w:pPr>
      <w:rPr>
        <w:rFonts w:hint="default"/>
        <w:b/>
        <w:i w:val="0"/>
        <w:strike w:val="0"/>
        <w:color w:val="auto"/>
      </w:rPr>
    </w:lvl>
    <w:lvl w:ilvl="1" w:tentative="0">
      <w:start w:val="13"/>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2">
    <w:nsid w:val="05C345EE"/>
    <w:multiLevelType w:val="multilevel"/>
    <w:tmpl w:val="05C345EE"/>
    <w:lvl w:ilvl="0" w:tentative="0">
      <w:start w:val="7"/>
      <w:numFmt w:val="decimal"/>
      <w:lvlText w:val="%1"/>
      <w:lvlJc w:val="left"/>
      <w:pPr>
        <w:ind w:left="360" w:hanging="360"/>
      </w:pPr>
      <w:rPr>
        <w:rFonts w:hint="default"/>
      </w:rPr>
    </w:lvl>
    <w:lvl w:ilvl="1" w:tentative="0">
      <w:start w:val="1"/>
      <w:numFmt w:val="decimal"/>
      <w:lvlText w:val="%1.%2"/>
      <w:lvlJc w:val="left"/>
      <w:pPr>
        <w:ind w:left="792" w:hanging="360"/>
      </w:pPr>
      <w:rPr>
        <w:rFonts w:hint="default"/>
        <w:i w:val="0"/>
        <w:color w:val="auto"/>
      </w:rPr>
    </w:lvl>
    <w:lvl w:ilvl="2" w:tentative="0">
      <w:start w:val="1"/>
      <w:numFmt w:val="decimal"/>
      <w:lvlText w:val="%1.%2.%3"/>
      <w:lvlJc w:val="left"/>
      <w:pPr>
        <w:ind w:left="1584" w:hanging="720"/>
      </w:pPr>
      <w:rPr>
        <w:rFonts w:hint="default"/>
        <w:i w:val="0"/>
        <w:color w:val="auto"/>
      </w:rPr>
    </w:lvl>
    <w:lvl w:ilvl="3" w:tentative="0">
      <w:start w:val="1"/>
      <w:numFmt w:val="decimal"/>
      <w:lvlText w:val="%1.%2.%3.%4"/>
      <w:lvlJc w:val="left"/>
      <w:pPr>
        <w:ind w:left="2016" w:hanging="720"/>
      </w:pPr>
      <w:rPr>
        <w:rFonts w:hint="default"/>
      </w:rPr>
    </w:lvl>
    <w:lvl w:ilvl="4" w:tentative="0">
      <w:start w:val="1"/>
      <w:numFmt w:val="decimal"/>
      <w:lvlText w:val="%1.%2.%3.%4.%5"/>
      <w:lvlJc w:val="left"/>
      <w:pPr>
        <w:ind w:left="2808" w:hanging="1080"/>
      </w:pPr>
      <w:rPr>
        <w:rFonts w:hint="default"/>
      </w:rPr>
    </w:lvl>
    <w:lvl w:ilvl="5" w:tentative="0">
      <w:start w:val="1"/>
      <w:numFmt w:val="decimal"/>
      <w:lvlText w:val="%1.%2.%3.%4.%5.%6"/>
      <w:lvlJc w:val="left"/>
      <w:pPr>
        <w:ind w:left="3240" w:hanging="1080"/>
      </w:pPr>
      <w:rPr>
        <w:rFonts w:hint="default"/>
      </w:rPr>
    </w:lvl>
    <w:lvl w:ilvl="6" w:tentative="0">
      <w:start w:val="1"/>
      <w:numFmt w:val="decimal"/>
      <w:lvlText w:val="%1.%2.%3.%4.%5.%6.%7"/>
      <w:lvlJc w:val="left"/>
      <w:pPr>
        <w:ind w:left="4032" w:hanging="1440"/>
      </w:pPr>
      <w:rPr>
        <w:rFonts w:hint="default"/>
      </w:rPr>
    </w:lvl>
    <w:lvl w:ilvl="7" w:tentative="0">
      <w:start w:val="1"/>
      <w:numFmt w:val="decimal"/>
      <w:lvlText w:val="%1.%2.%3.%4.%5.%6.%7.%8"/>
      <w:lvlJc w:val="left"/>
      <w:pPr>
        <w:ind w:left="4464" w:hanging="1440"/>
      </w:pPr>
      <w:rPr>
        <w:rFonts w:hint="default"/>
      </w:rPr>
    </w:lvl>
    <w:lvl w:ilvl="8" w:tentative="0">
      <w:start w:val="1"/>
      <w:numFmt w:val="decimal"/>
      <w:lvlText w:val="%1.%2.%3.%4.%5.%6.%7.%8.%9"/>
      <w:lvlJc w:val="left"/>
      <w:pPr>
        <w:ind w:left="5256" w:hanging="1800"/>
      </w:pPr>
      <w:rPr>
        <w:rFonts w:hint="default"/>
      </w:rPr>
    </w:lvl>
  </w:abstractNum>
  <w:abstractNum w:abstractNumId="3">
    <w:nsid w:val="0A2E43CD"/>
    <w:multiLevelType w:val="multilevel"/>
    <w:tmpl w:val="0A2E43CD"/>
    <w:lvl w:ilvl="0" w:tentative="0">
      <w:start w:val="4"/>
      <w:numFmt w:val="decimal"/>
      <w:lvlText w:val="%1"/>
      <w:lvlJc w:val="left"/>
      <w:pPr>
        <w:ind w:left="360" w:hanging="360"/>
      </w:pPr>
      <w:rPr>
        <w:rFonts w:hint="default" w:eastAsiaTheme="minorHAnsi"/>
        <w:i/>
        <w:color w:val="FF0000"/>
      </w:rPr>
    </w:lvl>
    <w:lvl w:ilvl="1" w:tentative="0">
      <w:start w:val="1"/>
      <w:numFmt w:val="decimal"/>
      <w:lvlText w:val="%1.%2"/>
      <w:lvlJc w:val="left"/>
      <w:pPr>
        <w:ind w:left="360" w:hanging="360"/>
      </w:pPr>
      <w:rPr>
        <w:rFonts w:hint="default" w:ascii="Arial" w:hAnsi="Arial" w:cs="Arial" w:eastAsiaTheme="minorHAnsi"/>
        <w:i w:val="0"/>
        <w:color w:val="auto"/>
      </w:rPr>
    </w:lvl>
    <w:lvl w:ilvl="2" w:tentative="0">
      <w:start w:val="1"/>
      <w:numFmt w:val="decimal"/>
      <w:lvlText w:val="%1.%2.%3"/>
      <w:lvlJc w:val="left"/>
      <w:pPr>
        <w:ind w:left="720" w:hanging="720"/>
      </w:pPr>
      <w:rPr>
        <w:rFonts w:hint="default" w:eastAsiaTheme="minorHAnsi"/>
        <w:i w:val="0"/>
        <w:color w:val="auto"/>
      </w:rPr>
    </w:lvl>
    <w:lvl w:ilvl="3" w:tentative="0">
      <w:start w:val="1"/>
      <w:numFmt w:val="decimal"/>
      <w:lvlText w:val="%1.%2.%3.%4"/>
      <w:lvlJc w:val="left"/>
      <w:pPr>
        <w:ind w:left="720" w:hanging="720"/>
      </w:pPr>
      <w:rPr>
        <w:rFonts w:hint="default" w:eastAsiaTheme="minorHAnsi"/>
        <w:i/>
        <w:color w:val="FF0000"/>
      </w:rPr>
    </w:lvl>
    <w:lvl w:ilvl="4" w:tentative="0">
      <w:start w:val="1"/>
      <w:numFmt w:val="decimal"/>
      <w:lvlText w:val="%1.%2.%3.%4.%5"/>
      <w:lvlJc w:val="left"/>
      <w:pPr>
        <w:ind w:left="1080" w:hanging="1080"/>
      </w:pPr>
      <w:rPr>
        <w:rFonts w:hint="default" w:eastAsiaTheme="minorHAnsi"/>
        <w:i/>
        <w:color w:val="FF0000"/>
      </w:rPr>
    </w:lvl>
    <w:lvl w:ilvl="5" w:tentative="0">
      <w:start w:val="1"/>
      <w:numFmt w:val="decimal"/>
      <w:lvlText w:val="%1.%2.%3.%4.%5.%6"/>
      <w:lvlJc w:val="left"/>
      <w:pPr>
        <w:ind w:left="1080" w:hanging="1080"/>
      </w:pPr>
      <w:rPr>
        <w:rFonts w:hint="default" w:eastAsiaTheme="minorHAnsi"/>
        <w:i/>
        <w:color w:val="FF0000"/>
      </w:rPr>
    </w:lvl>
    <w:lvl w:ilvl="6" w:tentative="0">
      <w:start w:val="1"/>
      <w:numFmt w:val="decimal"/>
      <w:lvlText w:val="%1.%2.%3.%4.%5.%6.%7"/>
      <w:lvlJc w:val="left"/>
      <w:pPr>
        <w:ind w:left="1440" w:hanging="1440"/>
      </w:pPr>
      <w:rPr>
        <w:rFonts w:hint="default" w:eastAsiaTheme="minorHAnsi"/>
        <w:i/>
        <w:color w:val="FF0000"/>
      </w:rPr>
    </w:lvl>
    <w:lvl w:ilvl="7" w:tentative="0">
      <w:start w:val="1"/>
      <w:numFmt w:val="decimal"/>
      <w:lvlText w:val="%1.%2.%3.%4.%5.%6.%7.%8"/>
      <w:lvlJc w:val="left"/>
      <w:pPr>
        <w:ind w:left="1440" w:hanging="1440"/>
      </w:pPr>
      <w:rPr>
        <w:rFonts w:hint="default" w:eastAsiaTheme="minorHAnsi"/>
        <w:i/>
        <w:color w:val="FF0000"/>
      </w:rPr>
    </w:lvl>
    <w:lvl w:ilvl="8" w:tentative="0">
      <w:start w:val="1"/>
      <w:numFmt w:val="decimal"/>
      <w:lvlText w:val="%1.%2.%3.%4.%5.%6.%7.%8.%9"/>
      <w:lvlJc w:val="left"/>
      <w:pPr>
        <w:ind w:left="1800" w:hanging="1800"/>
      </w:pPr>
      <w:rPr>
        <w:rFonts w:hint="default" w:eastAsiaTheme="minorHAnsi"/>
        <w:i/>
        <w:color w:val="FF0000"/>
      </w:rPr>
    </w:lvl>
  </w:abstractNum>
  <w:abstractNum w:abstractNumId="4">
    <w:nsid w:val="0C1114AC"/>
    <w:multiLevelType w:val="multilevel"/>
    <w:tmpl w:val="0C1114AC"/>
    <w:lvl w:ilvl="0" w:tentative="0">
      <w:start w:val="10"/>
      <w:numFmt w:val="decimal"/>
      <w:lvlText w:val="%1."/>
      <w:lvlJc w:val="right"/>
      <w:pPr>
        <w:ind w:left="360" w:hanging="360"/>
      </w:pPr>
      <w:rPr>
        <w:rFonts w:hint="default"/>
        <w:b/>
        <w:i w:val="0"/>
        <w:strike w:val="0"/>
        <w:color w:val="auto"/>
      </w:rPr>
    </w:lvl>
    <w:lvl w:ilvl="1" w:tentative="0">
      <w:start w:val="2"/>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5">
    <w:nsid w:val="0E377FC8"/>
    <w:multiLevelType w:val="multilevel"/>
    <w:tmpl w:val="0E377FC8"/>
    <w:lvl w:ilvl="0" w:tentative="0">
      <w:start w:val="11"/>
      <w:numFmt w:val="decimal"/>
      <w:lvlText w:val="%1."/>
      <w:lvlJc w:val="right"/>
      <w:pPr>
        <w:ind w:left="360" w:hanging="360"/>
      </w:pPr>
      <w:rPr>
        <w:rFonts w:hint="default"/>
        <w:b/>
        <w:i w:val="0"/>
        <w:strike w:val="0"/>
        <w:color w:val="auto"/>
      </w:rPr>
    </w:lvl>
    <w:lvl w:ilvl="1" w:tentative="0">
      <w:start w:val="13"/>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6">
    <w:nsid w:val="11412386"/>
    <w:multiLevelType w:val="multilevel"/>
    <w:tmpl w:val="11412386"/>
    <w:lvl w:ilvl="0" w:tentative="0">
      <w:start w:val="11"/>
      <w:numFmt w:val="decimal"/>
      <w:lvlText w:val="%1."/>
      <w:lvlJc w:val="right"/>
      <w:pPr>
        <w:ind w:left="360" w:hanging="360"/>
      </w:pPr>
      <w:rPr>
        <w:rFonts w:hint="default"/>
        <w:b/>
        <w:i w:val="0"/>
        <w:strike w:val="0"/>
        <w:color w:val="auto"/>
      </w:rPr>
    </w:lvl>
    <w:lvl w:ilvl="1" w:tentative="0">
      <w:start w:val="14"/>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7">
    <w:nsid w:val="13597D87"/>
    <w:multiLevelType w:val="multilevel"/>
    <w:tmpl w:val="13597D87"/>
    <w:lvl w:ilvl="0" w:tentative="0">
      <w:start w:val="10"/>
      <w:numFmt w:val="decimal"/>
      <w:lvlText w:val="%1."/>
      <w:lvlJc w:val="right"/>
      <w:pPr>
        <w:ind w:left="360" w:hanging="360"/>
      </w:pPr>
      <w:rPr>
        <w:rFonts w:hint="default"/>
        <w:b/>
        <w:i w:val="0"/>
        <w:strike w:val="0"/>
        <w:color w:val="auto"/>
      </w:rPr>
    </w:lvl>
    <w:lvl w:ilvl="1" w:tentative="0">
      <w:start w:val="1"/>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8">
    <w:nsid w:val="176D5D02"/>
    <w:multiLevelType w:val="multilevel"/>
    <w:tmpl w:val="176D5D02"/>
    <w:lvl w:ilvl="0" w:tentative="0">
      <w:start w:val="11"/>
      <w:numFmt w:val="decimal"/>
      <w:lvlText w:val="%1."/>
      <w:lvlJc w:val="right"/>
      <w:pPr>
        <w:ind w:left="360" w:hanging="360"/>
      </w:pPr>
      <w:rPr>
        <w:rFonts w:hint="default"/>
        <w:b/>
        <w:i w:val="0"/>
        <w:strike w:val="0"/>
        <w:color w:val="auto"/>
      </w:rPr>
    </w:lvl>
    <w:lvl w:ilvl="1" w:tentative="0">
      <w:start w:val="14"/>
      <w:numFmt w:val="decimal"/>
      <w:lvlText w:val="%1.%2."/>
      <w:lvlJc w:val="left"/>
      <w:pPr>
        <w:ind w:left="432" w:hanging="432"/>
      </w:pPr>
      <w:rPr>
        <w:rFonts w:hint="default"/>
        <w:b w:val="0"/>
        <w:bCs w:val="0"/>
        <w:i w:val="0"/>
        <w:strike w:val="0"/>
        <w:dstrike w:val="0"/>
        <w:color w:val="auto"/>
        <w:u w:val="none"/>
      </w:rPr>
    </w:lvl>
    <w:lvl w:ilvl="2" w:tentative="0">
      <w:start w:val="6"/>
      <w:numFmt w:val="decimal"/>
      <w:lvlText w:val="%1.%2.%3."/>
      <w:lvlJc w:val="left"/>
      <w:pPr>
        <w:ind w:left="1072" w:hanging="504"/>
      </w:pPr>
      <w:rPr>
        <w:rFonts w:hint="default" w:ascii="Arial" w:hAnsi="Arial"/>
        <w:b w:val="0"/>
        <w:i w:val="0"/>
        <w:color w:val="auto"/>
        <w:sz w:val="20"/>
        <w:szCs w:val="20"/>
      </w:rPr>
    </w:lvl>
    <w:lvl w:ilvl="3" w:tentative="0">
      <w:start w:val="1"/>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9">
    <w:nsid w:val="193C3ED9"/>
    <w:multiLevelType w:val="multilevel"/>
    <w:tmpl w:val="193C3ED9"/>
    <w:lvl w:ilvl="0" w:tentative="0">
      <w:start w:val="11"/>
      <w:numFmt w:val="decimal"/>
      <w:lvlText w:val="%1."/>
      <w:lvlJc w:val="right"/>
      <w:pPr>
        <w:ind w:left="360" w:hanging="360"/>
      </w:pPr>
      <w:rPr>
        <w:rFonts w:hint="default"/>
        <w:b/>
        <w:i w:val="0"/>
        <w:strike w:val="0"/>
        <w:color w:val="auto"/>
      </w:rPr>
    </w:lvl>
    <w:lvl w:ilvl="1" w:tentative="0">
      <w:start w:val="13"/>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10">
    <w:nsid w:val="1ABB2445"/>
    <w:multiLevelType w:val="multilevel"/>
    <w:tmpl w:val="1ABB2445"/>
    <w:lvl w:ilvl="0" w:tentative="0">
      <w:start w:val="11"/>
      <w:numFmt w:val="decimal"/>
      <w:lvlText w:val="%1."/>
      <w:lvlJc w:val="right"/>
      <w:pPr>
        <w:ind w:left="360" w:hanging="360"/>
      </w:pPr>
      <w:rPr>
        <w:rFonts w:hint="default"/>
        <w:b/>
        <w:i w:val="0"/>
        <w:strike w:val="0"/>
        <w:color w:val="auto"/>
      </w:rPr>
    </w:lvl>
    <w:lvl w:ilvl="1" w:tentative="0">
      <w:start w:val="13"/>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11">
    <w:nsid w:val="1D5C100D"/>
    <w:multiLevelType w:val="multilevel"/>
    <w:tmpl w:val="1D5C100D"/>
    <w:lvl w:ilvl="0" w:tentative="0">
      <w:start w:val="1"/>
      <w:numFmt w:val="decimal"/>
      <w:pStyle w:val="43"/>
      <w:lvlText w:val="%1."/>
      <w:lvlJc w:val="left"/>
      <w:pPr>
        <w:ind w:left="360" w:hanging="360"/>
      </w:pPr>
      <w:rPr>
        <w:rFonts w:hint="default"/>
        <w:b/>
        <w:color w:val="auto"/>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pStyle w:val="51"/>
      <w:lvlText w:val="%1.%2.%3."/>
      <w:lvlJc w:val="left"/>
      <w:pPr>
        <w:ind w:left="930" w:hanging="504"/>
      </w:pPr>
      <w:rPr>
        <w:rFonts w:hint="default"/>
        <w:b w:val="0"/>
        <w:i w:val="0"/>
        <w:color w:val="auto"/>
      </w:rPr>
    </w:lvl>
    <w:lvl w:ilvl="3" w:tentative="0">
      <w:start w:val="1"/>
      <w:numFmt w:val="decimal"/>
      <w:lvlText w:val="%1.%2.%3.%4."/>
      <w:lvlJc w:val="left"/>
      <w:pPr>
        <w:ind w:left="2491"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
    <w:nsid w:val="1E7D55EA"/>
    <w:multiLevelType w:val="multilevel"/>
    <w:tmpl w:val="1E7D55EA"/>
    <w:lvl w:ilvl="0" w:tentative="0">
      <w:start w:val="1"/>
      <w:numFmt w:val="decimal"/>
      <w:lvlText w:val="%1."/>
      <w:lvlJc w:val="right"/>
      <w:pPr>
        <w:ind w:left="360" w:hanging="360"/>
      </w:pPr>
      <w:rPr>
        <w:rFonts w:hint="default"/>
        <w:b/>
        <w:color w:val="auto"/>
      </w:rPr>
    </w:lvl>
    <w:lvl w:ilvl="1" w:tentative="0">
      <w:start w:val="1"/>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1"/>
      <w:numFmt w:val="decimal"/>
      <w:lvlText w:val="%1.%2.%3.%4."/>
      <w:lvlJc w:val="left"/>
      <w:pPr>
        <w:ind w:left="2491" w:hanging="648"/>
      </w:pPr>
      <w:rPr>
        <w:rFonts w:hint="default" w:ascii="Arial" w:hAnsi="Arial"/>
        <w:sz w:val="20"/>
        <w:szCs w:val="20"/>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
    <w:nsid w:val="21AC0A08"/>
    <w:multiLevelType w:val="multilevel"/>
    <w:tmpl w:val="21AC0A08"/>
    <w:lvl w:ilvl="0" w:tentative="0">
      <w:start w:val="11"/>
      <w:numFmt w:val="decimal"/>
      <w:lvlText w:val="%1."/>
      <w:lvlJc w:val="right"/>
      <w:pPr>
        <w:ind w:left="360" w:hanging="360"/>
      </w:pPr>
      <w:rPr>
        <w:rFonts w:hint="default"/>
        <w:b/>
        <w:i w:val="0"/>
        <w:strike w:val="0"/>
        <w:color w:val="auto"/>
      </w:rPr>
    </w:lvl>
    <w:lvl w:ilvl="1" w:tentative="0">
      <w:start w:val="13"/>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14">
    <w:nsid w:val="24DE0FFA"/>
    <w:multiLevelType w:val="multilevel"/>
    <w:tmpl w:val="24DE0FFA"/>
    <w:lvl w:ilvl="0" w:tentative="0">
      <w:start w:val="11"/>
      <w:numFmt w:val="decimal"/>
      <w:lvlText w:val="%1."/>
      <w:lvlJc w:val="right"/>
      <w:pPr>
        <w:ind w:left="360" w:hanging="360"/>
      </w:pPr>
      <w:rPr>
        <w:rFonts w:hint="default"/>
        <w:b/>
        <w:i w:val="0"/>
        <w:strike w:val="0"/>
        <w:color w:val="auto"/>
      </w:rPr>
    </w:lvl>
    <w:lvl w:ilvl="1" w:tentative="0">
      <w:start w:val="13"/>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15">
    <w:nsid w:val="3A202EC8"/>
    <w:multiLevelType w:val="multilevel"/>
    <w:tmpl w:val="3A202EC8"/>
    <w:lvl w:ilvl="0" w:tentative="0">
      <w:start w:val="11"/>
      <w:numFmt w:val="decimal"/>
      <w:lvlText w:val="%1."/>
      <w:lvlJc w:val="right"/>
      <w:pPr>
        <w:ind w:left="360" w:hanging="360"/>
      </w:pPr>
      <w:rPr>
        <w:rFonts w:hint="default"/>
        <w:b/>
        <w:i w:val="0"/>
        <w:strike w:val="0"/>
        <w:color w:val="auto"/>
      </w:rPr>
    </w:lvl>
    <w:lvl w:ilvl="1" w:tentative="0">
      <w:start w:val="1"/>
      <w:numFmt w:val="decimal"/>
      <w:lvlText w:val="%1.%2."/>
      <w:lvlJc w:val="left"/>
      <w:pPr>
        <w:ind w:left="432" w:hanging="432"/>
      </w:pPr>
      <w:rPr>
        <w:rFonts w:hint="default"/>
        <w:b w:val="0"/>
        <w:bCs w:val="0"/>
        <w:i w:val="0"/>
        <w:strike w:val="0"/>
        <w:dstrike w:val="0"/>
        <w:color w:val="auto"/>
        <w:u w:val="none"/>
      </w:rPr>
    </w:lvl>
    <w:lvl w:ilvl="2" w:tentative="0">
      <w:start w:val="0"/>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16">
    <w:nsid w:val="3B696126"/>
    <w:multiLevelType w:val="multilevel"/>
    <w:tmpl w:val="3B696126"/>
    <w:lvl w:ilvl="0" w:tentative="0">
      <w:start w:val="11"/>
      <w:numFmt w:val="decimal"/>
      <w:lvlText w:val="%1."/>
      <w:lvlJc w:val="right"/>
      <w:pPr>
        <w:ind w:left="360" w:hanging="360"/>
      </w:pPr>
      <w:rPr>
        <w:rFonts w:hint="default"/>
        <w:b/>
        <w:i w:val="0"/>
        <w:strike w:val="0"/>
        <w:color w:val="auto"/>
      </w:rPr>
    </w:lvl>
    <w:lvl w:ilvl="1" w:tentative="0">
      <w:start w:val="1"/>
      <w:numFmt w:val="decimal"/>
      <w:lvlText w:val="%1.%2."/>
      <w:lvlJc w:val="left"/>
      <w:pPr>
        <w:ind w:left="432" w:hanging="432"/>
      </w:pPr>
      <w:rPr>
        <w:rFonts w:hint="default"/>
        <w:b w:val="0"/>
        <w:bCs w:val="0"/>
        <w:i w:val="0"/>
        <w:strike w:val="0"/>
        <w:dstrike w:val="0"/>
        <w:color w:val="auto"/>
        <w:u w:val="none"/>
      </w:rPr>
    </w:lvl>
    <w:lvl w:ilvl="2" w:tentative="0">
      <w:start w:val="0"/>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17">
    <w:nsid w:val="3BE635F8"/>
    <w:multiLevelType w:val="multilevel"/>
    <w:tmpl w:val="3BE635F8"/>
    <w:lvl w:ilvl="0" w:tentative="0">
      <w:start w:val="1"/>
      <w:numFmt w:val="decimal"/>
      <w:suff w:val="space"/>
      <w:lvlText w:val="%1."/>
      <w:lvlJc w:val="left"/>
      <w:pPr>
        <w:ind w:left="24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18">
    <w:nsid w:val="3F2703D7"/>
    <w:multiLevelType w:val="multilevel"/>
    <w:tmpl w:val="3F2703D7"/>
    <w:lvl w:ilvl="0" w:tentative="0">
      <w:start w:val="4"/>
      <w:numFmt w:val="decimal"/>
      <w:lvlText w:val="%1"/>
      <w:lvlJc w:val="left"/>
      <w:pPr>
        <w:ind w:left="360" w:hanging="360"/>
      </w:pPr>
      <w:rPr>
        <w:rFonts w:hint="default" w:eastAsiaTheme="minorHAnsi"/>
        <w:i/>
        <w:color w:val="FF0000"/>
      </w:rPr>
    </w:lvl>
    <w:lvl w:ilvl="1" w:tentative="0">
      <w:start w:val="2"/>
      <w:numFmt w:val="decimal"/>
      <w:lvlText w:val="%1.%2"/>
      <w:lvlJc w:val="left"/>
      <w:pPr>
        <w:ind w:left="360" w:hanging="360"/>
      </w:pPr>
      <w:rPr>
        <w:rFonts w:hint="default" w:ascii="Arial" w:hAnsi="Arial" w:cs="Arial" w:eastAsiaTheme="minorHAnsi"/>
        <w:i w:val="0"/>
        <w:color w:val="auto"/>
      </w:rPr>
    </w:lvl>
    <w:lvl w:ilvl="2" w:tentative="0">
      <w:start w:val="1"/>
      <w:numFmt w:val="decimal"/>
      <w:lvlText w:val="%1.%2.%3"/>
      <w:lvlJc w:val="left"/>
      <w:pPr>
        <w:ind w:left="720" w:hanging="720"/>
      </w:pPr>
      <w:rPr>
        <w:rFonts w:hint="default" w:eastAsiaTheme="minorHAnsi"/>
        <w:i w:val="0"/>
        <w:color w:val="auto"/>
      </w:rPr>
    </w:lvl>
    <w:lvl w:ilvl="3" w:tentative="0">
      <w:start w:val="1"/>
      <w:numFmt w:val="decimal"/>
      <w:lvlText w:val="%1.%2.%3.%4"/>
      <w:lvlJc w:val="left"/>
      <w:pPr>
        <w:ind w:left="720" w:hanging="720"/>
      </w:pPr>
      <w:rPr>
        <w:rFonts w:hint="default" w:eastAsiaTheme="minorHAnsi"/>
        <w:i/>
        <w:color w:val="FF0000"/>
      </w:rPr>
    </w:lvl>
    <w:lvl w:ilvl="4" w:tentative="0">
      <w:start w:val="1"/>
      <w:numFmt w:val="decimal"/>
      <w:lvlText w:val="%1.%2.%3.%4.%5"/>
      <w:lvlJc w:val="left"/>
      <w:pPr>
        <w:ind w:left="1080" w:hanging="1080"/>
      </w:pPr>
      <w:rPr>
        <w:rFonts w:hint="default" w:eastAsiaTheme="minorHAnsi"/>
        <w:i/>
        <w:color w:val="FF0000"/>
      </w:rPr>
    </w:lvl>
    <w:lvl w:ilvl="5" w:tentative="0">
      <w:start w:val="1"/>
      <w:numFmt w:val="decimal"/>
      <w:lvlText w:val="%1.%2.%3.%4.%5.%6"/>
      <w:lvlJc w:val="left"/>
      <w:pPr>
        <w:ind w:left="1080" w:hanging="1080"/>
      </w:pPr>
      <w:rPr>
        <w:rFonts w:hint="default" w:eastAsiaTheme="minorHAnsi"/>
        <w:i/>
        <w:color w:val="FF0000"/>
      </w:rPr>
    </w:lvl>
    <w:lvl w:ilvl="6" w:tentative="0">
      <w:start w:val="1"/>
      <w:numFmt w:val="decimal"/>
      <w:lvlText w:val="%1.%2.%3.%4.%5.%6.%7"/>
      <w:lvlJc w:val="left"/>
      <w:pPr>
        <w:ind w:left="1440" w:hanging="1440"/>
      </w:pPr>
      <w:rPr>
        <w:rFonts w:hint="default" w:eastAsiaTheme="minorHAnsi"/>
        <w:i/>
        <w:color w:val="FF0000"/>
      </w:rPr>
    </w:lvl>
    <w:lvl w:ilvl="7" w:tentative="0">
      <w:start w:val="1"/>
      <w:numFmt w:val="decimal"/>
      <w:lvlText w:val="%1.%2.%3.%4.%5.%6.%7.%8"/>
      <w:lvlJc w:val="left"/>
      <w:pPr>
        <w:ind w:left="1440" w:hanging="1440"/>
      </w:pPr>
      <w:rPr>
        <w:rFonts w:hint="default" w:eastAsiaTheme="minorHAnsi"/>
        <w:i/>
        <w:color w:val="FF0000"/>
      </w:rPr>
    </w:lvl>
    <w:lvl w:ilvl="8" w:tentative="0">
      <w:start w:val="1"/>
      <w:numFmt w:val="decimal"/>
      <w:lvlText w:val="%1.%2.%3.%4.%5.%6.%7.%8.%9"/>
      <w:lvlJc w:val="left"/>
      <w:pPr>
        <w:ind w:left="1800" w:hanging="1800"/>
      </w:pPr>
      <w:rPr>
        <w:rFonts w:hint="default" w:eastAsiaTheme="minorHAnsi"/>
        <w:i/>
        <w:color w:val="FF0000"/>
      </w:rPr>
    </w:lvl>
  </w:abstractNum>
  <w:abstractNum w:abstractNumId="19">
    <w:nsid w:val="43457306"/>
    <w:multiLevelType w:val="multilevel"/>
    <w:tmpl w:val="43457306"/>
    <w:lvl w:ilvl="0" w:tentative="0">
      <w:start w:val="5"/>
      <w:numFmt w:val="decimal"/>
      <w:lvlText w:val="%1"/>
      <w:lvlJc w:val="left"/>
      <w:pPr>
        <w:ind w:left="360" w:hanging="360"/>
      </w:pPr>
      <w:rPr>
        <w:rFonts w:hint="default"/>
        <w:b w:val="0"/>
        <w:color w:val="FF0000"/>
      </w:rPr>
    </w:lvl>
    <w:lvl w:ilvl="1" w:tentative="0">
      <w:start w:val="1"/>
      <w:numFmt w:val="decimal"/>
      <w:lvlText w:val="%1.%2"/>
      <w:lvlJc w:val="left"/>
      <w:pPr>
        <w:ind w:left="720" w:hanging="360"/>
      </w:pPr>
      <w:rPr>
        <w:rFonts w:hint="default"/>
        <w:b w:val="0"/>
        <w:i w:val="0"/>
        <w:color w:val="auto"/>
      </w:rPr>
    </w:lvl>
    <w:lvl w:ilvl="2" w:tentative="0">
      <w:start w:val="1"/>
      <w:numFmt w:val="decimal"/>
      <w:lvlText w:val="%1.%2.%3"/>
      <w:lvlJc w:val="left"/>
      <w:pPr>
        <w:ind w:left="1440" w:hanging="720"/>
      </w:pPr>
      <w:rPr>
        <w:rFonts w:hint="default"/>
        <w:b w:val="0"/>
        <w:i w:val="0"/>
        <w:color w:val="auto"/>
      </w:rPr>
    </w:lvl>
    <w:lvl w:ilvl="3" w:tentative="0">
      <w:start w:val="1"/>
      <w:numFmt w:val="decimal"/>
      <w:lvlText w:val="%1.%2.%3.%4"/>
      <w:lvlJc w:val="left"/>
      <w:pPr>
        <w:ind w:left="1800" w:hanging="720"/>
      </w:pPr>
      <w:rPr>
        <w:rFonts w:hint="default"/>
        <w:b w:val="0"/>
        <w:i w:val="0"/>
        <w:color w:val="auto"/>
      </w:rPr>
    </w:lvl>
    <w:lvl w:ilvl="4" w:tentative="0">
      <w:start w:val="1"/>
      <w:numFmt w:val="decimal"/>
      <w:lvlText w:val="%1.%2.%3.%4.%5"/>
      <w:lvlJc w:val="left"/>
      <w:pPr>
        <w:ind w:left="2520" w:hanging="1080"/>
      </w:pPr>
      <w:rPr>
        <w:rFonts w:hint="default"/>
        <w:b w:val="0"/>
        <w:color w:val="FF0000"/>
      </w:rPr>
    </w:lvl>
    <w:lvl w:ilvl="5" w:tentative="0">
      <w:start w:val="1"/>
      <w:numFmt w:val="decimal"/>
      <w:lvlText w:val="%1.%2.%3.%4.%5.%6"/>
      <w:lvlJc w:val="left"/>
      <w:pPr>
        <w:ind w:left="2880" w:hanging="1080"/>
      </w:pPr>
      <w:rPr>
        <w:rFonts w:hint="default"/>
        <w:b w:val="0"/>
        <w:color w:val="FF0000"/>
      </w:rPr>
    </w:lvl>
    <w:lvl w:ilvl="6" w:tentative="0">
      <w:start w:val="1"/>
      <w:numFmt w:val="decimal"/>
      <w:lvlText w:val="%1.%2.%3.%4.%5.%6.%7"/>
      <w:lvlJc w:val="left"/>
      <w:pPr>
        <w:ind w:left="3600" w:hanging="1440"/>
      </w:pPr>
      <w:rPr>
        <w:rFonts w:hint="default"/>
        <w:b w:val="0"/>
        <w:color w:val="FF0000"/>
      </w:rPr>
    </w:lvl>
    <w:lvl w:ilvl="7" w:tentative="0">
      <w:start w:val="1"/>
      <w:numFmt w:val="decimal"/>
      <w:lvlText w:val="%1.%2.%3.%4.%5.%6.%7.%8"/>
      <w:lvlJc w:val="left"/>
      <w:pPr>
        <w:ind w:left="3960" w:hanging="1440"/>
      </w:pPr>
      <w:rPr>
        <w:rFonts w:hint="default"/>
        <w:b w:val="0"/>
        <w:color w:val="FF0000"/>
      </w:rPr>
    </w:lvl>
    <w:lvl w:ilvl="8" w:tentative="0">
      <w:start w:val="1"/>
      <w:numFmt w:val="decimal"/>
      <w:lvlText w:val="%1.%2.%3.%4.%5.%6.%7.%8.%9"/>
      <w:lvlJc w:val="left"/>
      <w:pPr>
        <w:ind w:left="4680" w:hanging="1800"/>
      </w:pPr>
      <w:rPr>
        <w:rFonts w:hint="default"/>
        <w:b w:val="0"/>
        <w:color w:val="FF0000"/>
      </w:rPr>
    </w:lvl>
  </w:abstractNum>
  <w:abstractNum w:abstractNumId="20">
    <w:nsid w:val="4557501D"/>
    <w:multiLevelType w:val="multilevel"/>
    <w:tmpl w:val="4557501D"/>
    <w:lvl w:ilvl="0" w:tentative="0">
      <w:start w:val="11"/>
      <w:numFmt w:val="decimal"/>
      <w:lvlText w:val="%1."/>
      <w:lvlJc w:val="right"/>
      <w:pPr>
        <w:ind w:left="360" w:hanging="360"/>
      </w:pPr>
      <w:rPr>
        <w:rFonts w:hint="default"/>
        <w:b/>
        <w:i w:val="0"/>
        <w:strike w:val="0"/>
        <w:color w:val="auto"/>
      </w:rPr>
    </w:lvl>
    <w:lvl w:ilvl="1" w:tentative="0">
      <w:start w:val="14"/>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21">
    <w:nsid w:val="49395268"/>
    <w:multiLevelType w:val="multilevel"/>
    <w:tmpl w:val="49395268"/>
    <w:lvl w:ilvl="0" w:tentative="0">
      <w:start w:val="4"/>
      <w:numFmt w:val="decimal"/>
      <w:lvlText w:val="%1"/>
      <w:lvlJc w:val="left"/>
      <w:pPr>
        <w:ind w:left="360" w:hanging="360"/>
      </w:pPr>
      <w:rPr>
        <w:rFonts w:hint="default" w:eastAsiaTheme="minorHAnsi"/>
        <w:i/>
        <w:color w:val="FF0000"/>
      </w:rPr>
    </w:lvl>
    <w:lvl w:ilvl="1" w:tentative="0">
      <w:start w:val="3"/>
      <w:numFmt w:val="decimal"/>
      <w:lvlText w:val="%1.%2"/>
      <w:lvlJc w:val="left"/>
      <w:pPr>
        <w:ind w:left="360" w:hanging="360"/>
      </w:pPr>
      <w:rPr>
        <w:rFonts w:hint="default" w:ascii="Arial" w:hAnsi="Arial" w:cs="Arial" w:eastAsiaTheme="minorHAnsi"/>
        <w:b w:val="0"/>
        <w:bCs w:val="0"/>
        <w:i w:val="0"/>
        <w:color w:val="auto"/>
      </w:rPr>
    </w:lvl>
    <w:lvl w:ilvl="2" w:tentative="0">
      <w:start w:val="1"/>
      <w:numFmt w:val="decimal"/>
      <w:lvlText w:val="%1.%2.%3"/>
      <w:lvlJc w:val="left"/>
      <w:pPr>
        <w:ind w:left="720" w:hanging="720"/>
      </w:pPr>
      <w:rPr>
        <w:rFonts w:hint="default" w:eastAsiaTheme="minorHAnsi"/>
        <w:i w:val="0"/>
        <w:color w:val="auto"/>
      </w:rPr>
    </w:lvl>
    <w:lvl w:ilvl="3" w:tentative="0">
      <w:start w:val="1"/>
      <w:numFmt w:val="decimal"/>
      <w:lvlText w:val="%1.%2.%3.%4"/>
      <w:lvlJc w:val="left"/>
      <w:pPr>
        <w:ind w:left="720" w:hanging="720"/>
      </w:pPr>
      <w:rPr>
        <w:rFonts w:hint="default" w:eastAsiaTheme="minorHAnsi"/>
        <w:i/>
        <w:color w:val="FF0000"/>
      </w:rPr>
    </w:lvl>
    <w:lvl w:ilvl="4" w:tentative="0">
      <w:start w:val="1"/>
      <w:numFmt w:val="decimal"/>
      <w:lvlText w:val="%1.%2.%3.%4.%5"/>
      <w:lvlJc w:val="left"/>
      <w:pPr>
        <w:ind w:left="1080" w:hanging="1080"/>
      </w:pPr>
      <w:rPr>
        <w:rFonts w:hint="default" w:eastAsiaTheme="minorHAnsi"/>
        <w:i/>
        <w:color w:val="FF0000"/>
      </w:rPr>
    </w:lvl>
    <w:lvl w:ilvl="5" w:tentative="0">
      <w:start w:val="1"/>
      <w:numFmt w:val="decimal"/>
      <w:lvlText w:val="%1.%2.%3.%4.%5.%6"/>
      <w:lvlJc w:val="left"/>
      <w:pPr>
        <w:ind w:left="1080" w:hanging="1080"/>
      </w:pPr>
      <w:rPr>
        <w:rFonts w:hint="default" w:eastAsiaTheme="minorHAnsi"/>
        <w:i/>
        <w:color w:val="FF0000"/>
      </w:rPr>
    </w:lvl>
    <w:lvl w:ilvl="6" w:tentative="0">
      <w:start w:val="1"/>
      <w:numFmt w:val="decimal"/>
      <w:lvlText w:val="%1.%2.%3.%4.%5.%6.%7"/>
      <w:lvlJc w:val="left"/>
      <w:pPr>
        <w:ind w:left="1440" w:hanging="1440"/>
      </w:pPr>
      <w:rPr>
        <w:rFonts w:hint="default" w:eastAsiaTheme="minorHAnsi"/>
        <w:i/>
        <w:color w:val="FF0000"/>
      </w:rPr>
    </w:lvl>
    <w:lvl w:ilvl="7" w:tentative="0">
      <w:start w:val="1"/>
      <w:numFmt w:val="decimal"/>
      <w:lvlText w:val="%1.%2.%3.%4.%5.%6.%7.%8"/>
      <w:lvlJc w:val="left"/>
      <w:pPr>
        <w:ind w:left="1440" w:hanging="1440"/>
      </w:pPr>
      <w:rPr>
        <w:rFonts w:hint="default" w:eastAsiaTheme="minorHAnsi"/>
        <w:i/>
        <w:color w:val="FF0000"/>
      </w:rPr>
    </w:lvl>
    <w:lvl w:ilvl="8" w:tentative="0">
      <w:start w:val="1"/>
      <w:numFmt w:val="decimal"/>
      <w:lvlText w:val="%1.%2.%3.%4.%5.%6.%7.%8.%9"/>
      <w:lvlJc w:val="left"/>
      <w:pPr>
        <w:ind w:left="1800" w:hanging="1800"/>
      </w:pPr>
      <w:rPr>
        <w:rFonts w:hint="default" w:eastAsiaTheme="minorHAnsi"/>
        <w:i/>
        <w:color w:val="FF0000"/>
      </w:rPr>
    </w:lvl>
  </w:abstractNum>
  <w:abstractNum w:abstractNumId="22">
    <w:nsid w:val="49A04701"/>
    <w:multiLevelType w:val="multilevel"/>
    <w:tmpl w:val="49A04701"/>
    <w:lvl w:ilvl="0" w:tentative="0">
      <w:start w:val="9"/>
      <w:numFmt w:val="decimal"/>
      <w:lvlText w:val="%1."/>
      <w:lvlJc w:val="left"/>
      <w:pPr>
        <w:ind w:left="504" w:hanging="504"/>
      </w:pPr>
      <w:rPr>
        <w:rFonts w:hint="default"/>
      </w:rPr>
    </w:lvl>
    <w:lvl w:ilvl="1" w:tentative="0">
      <w:start w:val="2"/>
      <w:numFmt w:val="decimal"/>
      <w:lvlText w:val="%1.%2."/>
      <w:lvlJc w:val="left"/>
      <w:pPr>
        <w:ind w:left="504" w:hanging="504"/>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3">
    <w:nsid w:val="4ED0540F"/>
    <w:multiLevelType w:val="multilevel"/>
    <w:tmpl w:val="4ED0540F"/>
    <w:lvl w:ilvl="0" w:tentative="0">
      <w:start w:val="11"/>
      <w:numFmt w:val="decimal"/>
      <w:lvlText w:val="%1."/>
      <w:lvlJc w:val="right"/>
      <w:pPr>
        <w:ind w:left="360" w:hanging="360"/>
      </w:pPr>
      <w:rPr>
        <w:rFonts w:hint="default"/>
        <w:b/>
        <w:i w:val="0"/>
        <w:strike w:val="0"/>
        <w:color w:val="auto"/>
      </w:rPr>
    </w:lvl>
    <w:lvl w:ilvl="1" w:tentative="0">
      <w:start w:val="1"/>
      <w:numFmt w:val="decimal"/>
      <w:lvlText w:val="%1.%2."/>
      <w:lvlJc w:val="left"/>
      <w:pPr>
        <w:ind w:left="432" w:hanging="432"/>
      </w:pPr>
      <w:rPr>
        <w:rFonts w:hint="default"/>
        <w:b w:val="0"/>
        <w:bCs w:val="0"/>
        <w:i w:val="0"/>
        <w:strike w:val="0"/>
        <w:dstrike w:val="0"/>
        <w:color w:val="auto"/>
        <w:u w:val="none"/>
      </w:rPr>
    </w:lvl>
    <w:lvl w:ilvl="2" w:tentative="0">
      <w:start w:val="0"/>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24">
    <w:nsid w:val="4F0C3BCB"/>
    <w:multiLevelType w:val="multilevel"/>
    <w:tmpl w:val="4F0C3BCB"/>
    <w:lvl w:ilvl="0" w:tentative="0">
      <w:start w:val="11"/>
      <w:numFmt w:val="decimal"/>
      <w:lvlText w:val="%1."/>
      <w:lvlJc w:val="right"/>
      <w:pPr>
        <w:ind w:left="360" w:hanging="360"/>
      </w:pPr>
      <w:rPr>
        <w:rFonts w:hint="default"/>
        <w:b/>
        <w:i w:val="0"/>
        <w:strike w:val="0"/>
        <w:color w:val="auto"/>
      </w:rPr>
    </w:lvl>
    <w:lvl w:ilvl="1" w:tentative="0">
      <w:start w:val="13"/>
      <w:numFmt w:val="decimal"/>
      <w:lvlText w:val="%1.%2."/>
      <w:lvlJc w:val="left"/>
      <w:pPr>
        <w:ind w:left="432" w:hanging="432"/>
      </w:pPr>
      <w:rPr>
        <w:rFonts w:hint="default"/>
        <w:b w:val="0"/>
        <w:bCs w:val="0"/>
        <w:i w:val="0"/>
        <w:strike w:val="0"/>
        <w:dstrike w:val="0"/>
        <w:color w:val="auto"/>
        <w:u w:val="none"/>
      </w:rPr>
    </w:lvl>
    <w:lvl w:ilvl="2" w:tentative="0">
      <w:start w:val="1"/>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25">
    <w:nsid w:val="5E1174EB"/>
    <w:multiLevelType w:val="multilevel"/>
    <w:tmpl w:val="5E1174EB"/>
    <w:lvl w:ilvl="0" w:tentative="0">
      <w:start w:val="6"/>
      <w:numFmt w:val="decimal"/>
      <w:lvlText w:val="%1"/>
      <w:lvlJc w:val="left"/>
      <w:pPr>
        <w:ind w:left="360" w:hanging="360"/>
      </w:pPr>
      <w:rPr>
        <w:rFonts w:hint="default"/>
      </w:rPr>
    </w:lvl>
    <w:lvl w:ilvl="1" w:tentative="0">
      <w:start w:val="1"/>
      <w:numFmt w:val="decimal"/>
      <w:lvlText w:val="%1.%2"/>
      <w:lvlJc w:val="left"/>
      <w:pPr>
        <w:ind w:left="792" w:hanging="360"/>
      </w:pPr>
      <w:rPr>
        <w:rFonts w:hint="default"/>
        <w:i w:val="0"/>
        <w:color w:val="auto"/>
      </w:rPr>
    </w:lvl>
    <w:lvl w:ilvl="2" w:tentative="0">
      <w:start w:val="1"/>
      <w:numFmt w:val="decimal"/>
      <w:lvlText w:val="%1.%2.%3"/>
      <w:lvlJc w:val="left"/>
      <w:pPr>
        <w:ind w:left="1584" w:hanging="720"/>
      </w:pPr>
      <w:rPr>
        <w:rFonts w:hint="default"/>
        <w:i w:val="0"/>
        <w:color w:val="auto"/>
      </w:rPr>
    </w:lvl>
    <w:lvl w:ilvl="3" w:tentative="0">
      <w:start w:val="1"/>
      <w:numFmt w:val="decimal"/>
      <w:lvlText w:val="%1.%2.%3.%4"/>
      <w:lvlJc w:val="left"/>
      <w:pPr>
        <w:ind w:left="2016" w:hanging="720"/>
      </w:pPr>
      <w:rPr>
        <w:rFonts w:hint="default"/>
      </w:rPr>
    </w:lvl>
    <w:lvl w:ilvl="4" w:tentative="0">
      <w:start w:val="1"/>
      <w:numFmt w:val="decimal"/>
      <w:lvlText w:val="%1.%2.%3.%4.%5"/>
      <w:lvlJc w:val="left"/>
      <w:pPr>
        <w:ind w:left="2808" w:hanging="1080"/>
      </w:pPr>
      <w:rPr>
        <w:rFonts w:hint="default"/>
      </w:rPr>
    </w:lvl>
    <w:lvl w:ilvl="5" w:tentative="0">
      <w:start w:val="1"/>
      <w:numFmt w:val="decimal"/>
      <w:lvlText w:val="%1.%2.%3.%4.%5.%6"/>
      <w:lvlJc w:val="left"/>
      <w:pPr>
        <w:ind w:left="3240" w:hanging="1080"/>
      </w:pPr>
      <w:rPr>
        <w:rFonts w:hint="default"/>
      </w:rPr>
    </w:lvl>
    <w:lvl w:ilvl="6" w:tentative="0">
      <w:start w:val="1"/>
      <w:numFmt w:val="decimal"/>
      <w:lvlText w:val="%1.%2.%3.%4.%5.%6.%7"/>
      <w:lvlJc w:val="left"/>
      <w:pPr>
        <w:ind w:left="4032" w:hanging="1440"/>
      </w:pPr>
      <w:rPr>
        <w:rFonts w:hint="default"/>
      </w:rPr>
    </w:lvl>
    <w:lvl w:ilvl="7" w:tentative="0">
      <w:start w:val="1"/>
      <w:numFmt w:val="decimal"/>
      <w:lvlText w:val="%1.%2.%3.%4.%5.%6.%7.%8"/>
      <w:lvlJc w:val="left"/>
      <w:pPr>
        <w:ind w:left="4464" w:hanging="1440"/>
      </w:pPr>
      <w:rPr>
        <w:rFonts w:hint="default"/>
      </w:rPr>
    </w:lvl>
    <w:lvl w:ilvl="8" w:tentative="0">
      <w:start w:val="1"/>
      <w:numFmt w:val="decimal"/>
      <w:lvlText w:val="%1.%2.%3.%4.%5.%6.%7.%8.%9"/>
      <w:lvlJc w:val="left"/>
      <w:pPr>
        <w:ind w:left="5256" w:hanging="1800"/>
      </w:pPr>
      <w:rPr>
        <w:rFonts w:hint="default"/>
      </w:rPr>
    </w:lvl>
  </w:abstractNum>
  <w:abstractNum w:abstractNumId="26">
    <w:nsid w:val="5E14696C"/>
    <w:multiLevelType w:val="multilevel"/>
    <w:tmpl w:val="5E14696C"/>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i w:val="0"/>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7">
    <w:nsid w:val="67655785"/>
    <w:multiLevelType w:val="multilevel"/>
    <w:tmpl w:val="67655785"/>
    <w:lvl w:ilvl="0" w:tentative="0">
      <w:start w:val="2"/>
      <w:numFmt w:val="decimal"/>
      <w:lvlText w:val="%1."/>
      <w:lvlJc w:val="right"/>
      <w:pPr>
        <w:ind w:left="360" w:hanging="360"/>
      </w:pPr>
      <w:rPr>
        <w:rFonts w:hint="default"/>
        <w:b/>
        <w:i w:val="0"/>
        <w:strike w:val="0"/>
        <w:color w:val="auto"/>
      </w:rPr>
    </w:lvl>
    <w:lvl w:ilvl="1" w:tentative="0">
      <w:start w:val="1"/>
      <w:numFmt w:val="decimal"/>
      <w:lvlText w:val="%1.%2."/>
      <w:lvlJc w:val="left"/>
      <w:pPr>
        <w:ind w:left="432" w:hanging="432"/>
      </w:pPr>
      <w:rPr>
        <w:rFonts w:hint="default"/>
        <w:b w:val="0"/>
        <w:bCs w:val="0"/>
        <w:i w:val="0"/>
        <w:strike w:val="0"/>
        <w:dstrike w:val="0"/>
        <w:color w:val="auto"/>
        <w:u w:val="none"/>
      </w:rPr>
    </w:lvl>
    <w:lvl w:ilvl="2" w:tentative="0">
      <w:start w:val="0"/>
      <w:numFmt w:val="decimal"/>
      <w:lvlText w:val="%1.%2.%3."/>
      <w:lvlJc w:val="left"/>
      <w:pPr>
        <w:ind w:left="1072" w:hanging="504"/>
      </w:pPr>
      <w:rPr>
        <w:rFonts w:hint="default" w:ascii="Arial" w:hAnsi="Arial"/>
        <w:b w:val="0"/>
        <w:i w:val="0"/>
        <w:color w:val="auto"/>
        <w:sz w:val="20"/>
        <w:szCs w:val="20"/>
      </w:rPr>
    </w:lvl>
    <w:lvl w:ilvl="3" w:tentative="0">
      <w:start w:val="0"/>
      <w:numFmt w:val="decimal"/>
      <w:lvlText w:val="%1.%2.%3.%4."/>
      <w:lvlJc w:val="left"/>
      <w:pPr>
        <w:ind w:left="2491" w:hanging="648"/>
      </w:pPr>
      <w:rPr>
        <w:rFonts w:hint="default" w:ascii="Arial" w:hAnsi="Arial"/>
        <w:sz w:val="20"/>
        <w:szCs w:val="20"/>
      </w:rPr>
    </w:lvl>
    <w:lvl w:ilvl="4" w:tentative="0">
      <w:start w:val="0"/>
      <w:numFmt w:val="decimal"/>
      <w:lvlText w:val="%1.%2.%3.%4.%5."/>
      <w:lvlJc w:val="left"/>
      <w:pPr>
        <w:ind w:left="2232" w:hanging="792"/>
      </w:pPr>
      <w:rPr>
        <w:rFonts w:hint="default"/>
      </w:rPr>
    </w:lvl>
    <w:lvl w:ilvl="5" w:tentative="0">
      <w:start w:val="0"/>
      <w:numFmt w:val="decimal"/>
      <w:lvlText w:val="%1.%2.%3.%4.%5.%6."/>
      <w:lvlJc w:val="left"/>
      <w:pPr>
        <w:ind w:left="2736" w:hanging="936"/>
      </w:pPr>
      <w:rPr>
        <w:rFonts w:hint="default"/>
      </w:rPr>
    </w:lvl>
    <w:lvl w:ilvl="6" w:tentative="0">
      <w:start w:val="0"/>
      <w:numFmt w:val="decimal"/>
      <w:lvlText w:val="%1.%2.%3.%4.%5.%6.%7."/>
      <w:lvlJc w:val="left"/>
      <w:pPr>
        <w:ind w:left="3240" w:hanging="1080"/>
      </w:pPr>
      <w:rPr>
        <w:rFonts w:hint="default"/>
      </w:rPr>
    </w:lvl>
    <w:lvl w:ilvl="7" w:tentative="0">
      <w:start w:val="0"/>
      <w:numFmt w:val="decimal"/>
      <w:lvlText w:val="%1.%2.%3.%4.%5.%6.%7.%8."/>
      <w:lvlJc w:val="left"/>
      <w:pPr>
        <w:ind w:left="3744" w:hanging="1224"/>
      </w:pPr>
      <w:rPr>
        <w:rFonts w:hint="default"/>
      </w:rPr>
    </w:lvl>
    <w:lvl w:ilvl="8" w:tentative="0">
      <w:start w:val="0"/>
      <w:numFmt w:val="decimal"/>
      <w:lvlText w:val="%1.%2.%3.%4.%5.%6.%7.%8.%9."/>
      <w:lvlJc w:val="left"/>
      <w:pPr>
        <w:ind w:left="4320" w:hanging="1440"/>
      </w:pPr>
      <w:rPr>
        <w:rFonts w:hint="default"/>
      </w:rPr>
    </w:lvl>
  </w:abstractNum>
  <w:abstractNum w:abstractNumId="28">
    <w:nsid w:val="7E263972"/>
    <w:multiLevelType w:val="multilevel"/>
    <w:tmpl w:val="7E263972"/>
    <w:lvl w:ilvl="0" w:tentative="0">
      <w:start w:val="8"/>
      <w:numFmt w:val="decimal"/>
      <w:lvlText w:val="%1"/>
      <w:lvlJc w:val="left"/>
      <w:pPr>
        <w:ind w:left="360" w:hanging="360"/>
      </w:pPr>
      <w:rPr>
        <w:rFonts w:hint="default" w:ascii="Arial" w:hAnsi="Arial" w:eastAsia="Times New Roman" w:cs="Arial"/>
        <w:i/>
        <w:color w:val="FF0000"/>
        <w:sz w:val="20"/>
      </w:rPr>
    </w:lvl>
    <w:lvl w:ilvl="1" w:tentative="0">
      <w:start w:val="1"/>
      <w:numFmt w:val="decimal"/>
      <w:lvlText w:val="%1.%2"/>
      <w:lvlJc w:val="left"/>
      <w:pPr>
        <w:ind w:left="1643" w:hanging="360"/>
      </w:pPr>
      <w:rPr>
        <w:rFonts w:hint="default" w:ascii="Arial" w:hAnsi="Arial" w:eastAsia="Times New Roman" w:cs="Arial"/>
        <w:i w:val="0"/>
        <w:color w:val="auto"/>
        <w:sz w:val="20"/>
      </w:rPr>
    </w:lvl>
    <w:lvl w:ilvl="2" w:tentative="0">
      <w:start w:val="1"/>
      <w:numFmt w:val="decimal"/>
      <w:lvlText w:val="%1.%2.%3"/>
      <w:lvlJc w:val="left"/>
      <w:pPr>
        <w:ind w:left="3286" w:hanging="720"/>
      </w:pPr>
      <w:rPr>
        <w:rFonts w:hint="default" w:ascii="Arial" w:hAnsi="Arial" w:eastAsia="Times New Roman" w:cs="Arial"/>
        <w:i w:val="0"/>
        <w:color w:val="auto"/>
        <w:sz w:val="20"/>
      </w:rPr>
    </w:lvl>
    <w:lvl w:ilvl="3" w:tentative="0">
      <w:start w:val="1"/>
      <w:numFmt w:val="decimal"/>
      <w:lvlText w:val="%1.%2.%3.%4"/>
      <w:lvlJc w:val="left"/>
      <w:pPr>
        <w:ind w:left="4569" w:hanging="720"/>
      </w:pPr>
      <w:rPr>
        <w:rFonts w:hint="default" w:ascii="Arial" w:hAnsi="Arial" w:eastAsia="Times New Roman" w:cs="Arial"/>
        <w:i w:val="0"/>
        <w:iCs/>
        <w:color w:val="auto"/>
        <w:sz w:val="20"/>
      </w:rPr>
    </w:lvl>
    <w:lvl w:ilvl="4" w:tentative="0">
      <w:start w:val="1"/>
      <w:numFmt w:val="decimal"/>
      <w:lvlText w:val="%1.%2.%3.%4.%5"/>
      <w:lvlJc w:val="left"/>
      <w:pPr>
        <w:ind w:left="6212" w:hanging="1080"/>
      </w:pPr>
      <w:rPr>
        <w:rFonts w:hint="default" w:ascii="Arial" w:hAnsi="Arial" w:eastAsia="Times New Roman" w:cs="Arial"/>
        <w:i/>
        <w:color w:val="FF0000"/>
        <w:sz w:val="20"/>
      </w:rPr>
    </w:lvl>
    <w:lvl w:ilvl="5" w:tentative="0">
      <w:start w:val="1"/>
      <w:numFmt w:val="decimal"/>
      <w:lvlText w:val="%1.%2.%3.%4.%5.%6"/>
      <w:lvlJc w:val="left"/>
      <w:pPr>
        <w:ind w:left="7495" w:hanging="1080"/>
      </w:pPr>
      <w:rPr>
        <w:rFonts w:hint="default" w:ascii="Arial" w:hAnsi="Arial" w:eastAsia="Times New Roman" w:cs="Arial"/>
        <w:i/>
        <w:color w:val="FF0000"/>
        <w:sz w:val="20"/>
      </w:rPr>
    </w:lvl>
    <w:lvl w:ilvl="6" w:tentative="0">
      <w:start w:val="1"/>
      <w:numFmt w:val="decimal"/>
      <w:lvlText w:val="%1.%2.%3.%4.%5.%6.%7"/>
      <w:lvlJc w:val="left"/>
      <w:pPr>
        <w:ind w:left="9138" w:hanging="1440"/>
      </w:pPr>
      <w:rPr>
        <w:rFonts w:hint="default" w:ascii="Arial" w:hAnsi="Arial" w:eastAsia="Times New Roman" w:cs="Arial"/>
        <w:i/>
        <w:color w:val="FF0000"/>
        <w:sz w:val="20"/>
      </w:rPr>
    </w:lvl>
    <w:lvl w:ilvl="7" w:tentative="0">
      <w:start w:val="1"/>
      <w:numFmt w:val="decimal"/>
      <w:lvlText w:val="%1.%2.%3.%4.%5.%6.%7.%8"/>
      <w:lvlJc w:val="left"/>
      <w:pPr>
        <w:ind w:left="10421" w:hanging="1440"/>
      </w:pPr>
      <w:rPr>
        <w:rFonts w:hint="default" w:ascii="Arial" w:hAnsi="Arial" w:eastAsia="Times New Roman" w:cs="Arial"/>
        <w:i/>
        <w:color w:val="FF0000"/>
        <w:sz w:val="20"/>
      </w:rPr>
    </w:lvl>
    <w:lvl w:ilvl="8" w:tentative="0">
      <w:start w:val="1"/>
      <w:numFmt w:val="decimal"/>
      <w:lvlText w:val="%1.%2.%3.%4.%5.%6.%7.%8.%9"/>
      <w:lvlJc w:val="left"/>
      <w:pPr>
        <w:ind w:left="11704" w:hanging="1440"/>
      </w:pPr>
      <w:rPr>
        <w:rFonts w:hint="default" w:ascii="Arial" w:hAnsi="Arial" w:eastAsia="Times New Roman" w:cs="Arial"/>
        <w:i/>
        <w:color w:val="FF0000"/>
        <w:sz w:val="20"/>
      </w:rPr>
    </w:lvl>
  </w:abstractNum>
  <w:num w:numId="1">
    <w:abstractNumId w:val="11"/>
  </w:num>
  <w:num w:numId="2">
    <w:abstractNumId w:val="17"/>
  </w:num>
  <w:num w:numId="3">
    <w:abstractNumId w:val="12"/>
  </w:num>
  <w:num w:numId="4">
    <w:abstractNumId w:val="27"/>
  </w:num>
  <w:num w:numId="5">
    <w:abstractNumId w:val="26"/>
  </w:num>
  <w:num w:numId="6">
    <w:abstractNumId w:val="3"/>
  </w:num>
  <w:num w:numId="7">
    <w:abstractNumId w:val="18"/>
  </w:num>
  <w:num w:numId="8">
    <w:abstractNumId w:val="21"/>
  </w:num>
  <w:num w:numId="9">
    <w:abstractNumId w:val="19"/>
  </w:num>
  <w:num w:numId="10">
    <w:abstractNumId w:val="25"/>
  </w:num>
  <w:num w:numId="11">
    <w:abstractNumId w:val="2"/>
  </w:num>
  <w:num w:numId="12">
    <w:abstractNumId w:val="28"/>
  </w:num>
  <w:num w:numId="13">
    <w:abstractNumId w:val="22"/>
  </w:num>
  <w:num w:numId="14">
    <w:abstractNumId w:val="0"/>
  </w:num>
  <w:num w:numId="15">
    <w:abstractNumId w:val="7"/>
  </w:num>
  <w:num w:numId="16">
    <w:abstractNumId w:val="4"/>
  </w:num>
  <w:num w:numId="17">
    <w:abstractNumId w:val="16"/>
  </w:num>
  <w:num w:numId="18">
    <w:abstractNumId w:val="15"/>
  </w:num>
  <w:num w:numId="19">
    <w:abstractNumId w:val="23"/>
  </w:num>
  <w:num w:numId="20">
    <w:abstractNumId w:val="10"/>
  </w:num>
  <w:num w:numId="21">
    <w:abstractNumId w:val="5"/>
  </w:num>
  <w:num w:numId="22">
    <w:abstractNumId w:val="1"/>
  </w:num>
  <w:num w:numId="23">
    <w:abstractNumId w:val="24"/>
  </w:num>
  <w:num w:numId="24">
    <w:abstractNumId w:val="14"/>
  </w:num>
  <w:num w:numId="25">
    <w:abstractNumId w:val="13"/>
  </w:num>
  <w:num w:numId="26">
    <w:abstractNumId w:val="9"/>
  </w:num>
  <w:num w:numId="27">
    <w:abstractNumId w:val="6"/>
  </w:num>
  <w:num w:numId="28">
    <w:abstractNumId w:val="2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9E"/>
    <w:rsid w:val="001E605D"/>
    <w:rsid w:val="003D7F07"/>
    <w:rsid w:val="006E6E20"/>
    <w:rsid w:val="008104CA"/>
    <w:rsid w:val="00AA4BDF"/>
    <w:rsid w:val="00D508D8"/>
    <w:rsid w:val="00E41A9E"/>
    <w:rsid w:val="00E47C96"/>
    <w:rsid w:val="047375E4"/>
    <w:rsid w:val="04B90590"/>
    <w:rsid w:val="058F58FF"/>
    <w:rsid w:val="064A1CA8"/>
    <w:rsid w:val="06C925AA"/>
    <w:rsid w:val="06F15AA5"/>
    <w:rsid w:val="079C1EB4"/>
    <w:rsid w:val="08191757"/>
    <w:rsid w:val="08772785"/>
    <w:rsid w:val="0BF2164C"/>
    <w:rsid w:val="0C013622"/>
    <w:rsid w:val="0DF5588D"/>
    <w:rsid w:val="10584C3A"/>
    <w:rsid w:val="15B13627"/>
    <w:rsid w:val="18C179CD"/>
    <w:rsid w:val="190B6EBF"/>
    <w:rsid w:val="1ABD41C4"/>
    <w:rsid w:val="1E5B441F"/>
    <w:rsid w:val="1EE833D9"/>
    <w:rsid w:val="1F6D61B8"/>
    <w:rsid w:val="257C53A7"/>
    <w:rsid w:val="26A60202"/>
    <w:rsid w:val="27170D6F"/>
    <w:rsid w:val="28DF17A9"/>
    <w:rsid w:val="28F65471"/>
    <w:rsid w:val="2B6B7278"/>
    <w:rsid w:val="2D9E1C33"/>
    <w:rsid w:val="2E720283"/>
    <w:rsid w:val="2EBD6CD0"/>
    <w:rsid w:val="30C916BD"/>
    <w:rsid w:val="33D04B10"/>
    <w:rsid w:val="347B2CCE"/>
    <w:rsid w:val="3736112E"/>
    <w:rsid w:val="3A6D30B9"/>
    <w:rsid w:val="3CD32AA5"/>
    <w:rsid w:val="3CF43399"/>
    <w:rsid w:val="3EF15EDB"/>
    <w:rsid w:val="41B3357F"/>
    <w:rsid w:val="432B1CC4"/>
    <w:rsid w:val="45D71D2E"/>
    <w:rsid w:val="48B32931"/>
    <w:rsid w:val="49077FE6"/>
    <w:rsid w:val="4B050CA9"/>
    <w:rsid w:val="4B4B41DB"/>
    <w:rsid w:val="4B7F49FA"/>
    <w:rsid w:val="52FB52AE"/>
    <w:rsid w:val="53620E89"/>
    <w:rsid w:val="5486329D"/>
    <w:rsid w:val="56FF58B3"/>
    <w:rsid w:val="5774562F"/>
    <w:rsid w:val="59080725"/>
    <w:rsid w:val="59685550"/>
    <w:rsid w:val="5B2336AF"/>
    <w:rsid w:val="5D0D455B"/>
    <w:rsid w:val="60E750C3"/>
    <w:rsid w:val="612358BE"/>
    <w:rsid w:val="624F4CCE"/>
    <w:rsid w:val="63181AA7"/>
    <w:rsid w:val="63AD6150"/>
    <w:rsid w:val="66C4797B"/>
    <w:rsid w:val="66DD20EA"/>
    <w:rsid w:val="673152EA"/>
    <w:rsid w:val="678A0557"/>
    <w:rsid w:val="6A6D0165"/>
    <w:rsid w:val="6B715CB5"/>
    <w:rsid w:val="6BA02A3F"/>
    <w:rsid w:val="6D9914F3"/>
    <w:rsid w:val="6E754B3F"/>
    <w:rsid w:val="6F643868"/>
    <w:rsid w:val="6F9F4BD8"/>
    <w:rsid w:val="704459D8"/>
    <w:rsid w:val="7465245F"/>
    <w:rsid w:val="758B02BC"/>
    <w:rsid w:val="75A82C1C"/>
    <w:rsid w:val="75FB71EF"/>
    <w:rsid w:val="771A36A5"/>
    <w:rsid w:val="777D7048"/>
    <w:rsid w:val="783B7D77"/>
    <w:rsid w:val="7BAB467E"/>
    <w:rsid w:val="7BD83B2F"/>
    <w:rsid w:val="7C972F41"/>
    <w:rsid w:val="7D063BB1"/>
    <w:rsid w:val="7D1D5C9D"/>
    <w:rsid w:val="7D363D4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suppressAutoHyphens/>
    </w:pPr>
    <w:rPr>
      <w:rFonts w:ascii="Times New Roman" w:hAnsi="Times New Roman" w:eastAsia="Times New Roman" w:cs="Times New Roman"/>
      <w:sz w:val="24"/>
      <w:szCs w:val="24"/>
      <w:lang w:val="pt-BR" w:eastAsia="pt-BR" w:bidi="ar-SA"/>
    </w:rPr>
  </w:style>
  <w:style w:type="paragraph" w:styleId="2">
    <w:name w:val="heading 1"/>
    <w:basedOn w:val="1"/>
    <w:next w:val="1"/>
    <w:qFormat/>
    <w:uiPriority w:val="0"/>
    <w:pPr>
      <w:keepNext/>
      <w:spacing w:before="240" w:after="60"/>
      <w:outlineLvl w:val="0"/>
    </w:pPr>
    <w:rPr>
      <w:rFonts w:ascii="Arial" w:hAnsi="Arial" w:cs="Arial"/>
      <w:b/>
      <w:bCs/>
      <w:kern w:val="2"/>
      <w:sz w:val="32"/>
      <w:szCs w:val="32"/>
    </w:rPr>
  </w:style>
  <w:style w:type="paragraph" w:styleId="3">
    <w:name w:val="heading 2"/>
    <w:basedOn w:val="1"/>
    <w:next w:val="1"/>
    <w:qFormat/>
    <w:uiPriority w:val="0"/>
    <w:pPr>
      <w:keepNext/>
      <w:outlineLvl w:val="1"/>
    </w:pPr>
    <w:rPr>
      <w:rFonts w:ascii="Tahoma" w:hAnsi="Tahoma" w:cs="Tahoma"/>
      <w:b/>
      <w:bCs/>
    </w:rPr>
  </w:style>
  <w:style w:type="paragraph" w:styleId="4">
    <w:name w:val="heading 3"/>
    <w:basedOn w:val="1"/>
    <w:next w:val="1"/>
    <w:qFormat/>
    <w:uiPriority w:val="0"/>
    <w:pPr>
      <w:keepNext/>
      <w:jc w:val="center"/>
      <w:outlineLvl w:val="2"/>
    </w:pPr>
    <w:rPr>
      <w:rFonts w:ascii="Monotype Corsiva" w:hAnsi="Monotype Corsiva" w:cs="Arial"/>
      <w:b/>
      <w:bCs/>
      <w:sz w:val="28"/>
    </w:rPr>
  </w:style>
  <w:style w:type="paragraph" w:styleId="5">
    <w:name w:val="heading 4"/>
    <w:basedOn w:val="1"/>
    <w:next w:val="1"/>
    <w:qFormat/>
    <w:uiPriority w:val="0"/>
    <w:pPr>
      <w:keepNext/>
      <w:outlineLvl w:val="3"/>
    </w:pPr>
    <w:rPr>
      <w:rFonts w:ascii="Comic Sans MS" w:hAnsi="Comic Sans MS"/>
      <w:b/>
      <w:bCs/>
      <w:sz w:val="22"/>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unhideWhenUsed/>
    <w:qFormat/>
    <w:uiPriority w:val="0"/>
    <w:rPr>
      <w:color w:val="000080"/>
      <w:u w:val="single"/>
    </w:rPr>
  </w:style>
  <w:style w:type="character" w:styleId="9">
    <w:name w:val="annotation reference"/>
    <w:semiHidden/>
    <w:qFormat/>
    <w:uiPriority w:val="0"/>
    <w:rPr>
      <w:sz w:val="16"/>
      <w:szCs w:val="16"/>
    </w:rPr>
  </w:style>
  <w:style w:type="character" w:styleId="10">
    <w:name w:val="Strong"/>
    <w:basedOn w:val="6"/>
    <w:qFormat/>
    <w:uiPriority w:val="22"/>
    <w:rPr>
      <w:b/>
      <w:bCs/>
    </w:rPr>
  </w:style>
  <w:style w:type="paragraph" w:styleId="11">
    <w:name w:val="annotation text"/>
    <w:basedOn w:val="1"/>
    <w:qFormat/>
    <w:uiPriority w:val="0"/>
    <w:rPr>
      <w:sz w:val="20"/>
      <w:szCs w:val="20"/>
    </w:rPr>
  </w:style>
  <w:style w:type="paragraph" w:styleId="12">
    <w:name w:val="Body Text Indent 2"/>
    <w:basedOn w:val="1"/>
    <w:qFormat/>
    <w:uiPriority w:val="0"/>
    <w:pPr>
      <w:spacing w:line="240" w:lineRule="atLeast"/>
      <w:ind w:firstLine="720"/>
      <w:jc w:val="both"/>
    </w:pPr>
    <w:rPr>
      <w:rFonts w:ascii="Book Antiqua" w:hAnsi="Book Antiqua"/>
      <w:szCs w:val="22"/>
    </w:rPr>
  </w:style>
  <w:style w:type="paragraph" w:styleId="13">
    <w:name w:val="Body Text Indent"/>
    <w:basedOn w:val="1"/>
    <w:qFormat/>
    <w:uiPriority w:val="0"/>
    <w:pPr>
      <w:ind w:firstLine="709"/>
      <w:jc w:val="both"/>
    </w:pPr>
    <w:rPr>
      <w:rFonts w:ascii="Book Antiqua" w:hAnsi="Book Antiqua" w:cs="Tahoma"/>
      <w:sz w:val="22"/>
    </w:rPr>
  </w:style>
  <w:style w:type="paragraph" w:styleId="14">
    <w:name w:val="Body Text 2"/>
    <w:basedOn w:val="1"/>
    <w:qFormat/>
    <w:uiPriority w:val="0"/>
    <w:pPr>
      <w:jc w:val="both"/>
    </w:pPr>
    <w:rPr>
      <w:sz w:val="26"/>
    </w:rPr>
  </w:style>
  <w:style w:type="paragraph" w:styleId="15">
    <w:name w:val="Body Text"/>
    <w:basedOn w:val="1"/>
    <w:qFormat/>
    <w:uiPriority w:val="0"/>
    <w:pPr>
      <w:spacing w:after="120"/>
    </w:pPr>
  </w:style>
  <w:style w:type="paragraph" w:styleId="16">
    <w:name w:val="caption"/>
    <w:basedOn w:val="1"/>
    <w:next w:val="1"/>
    <w:qFormat/>
    <w:uiPriority w:val="0"/>
    <w:pPr>
      <w:suppressLineNumbers/>
      <w:spacing w:before="120" w:after="120"/>
    </w:pPr>
    <w:rPr>
      <w:rFonts w:cs="Arial"/>
      <w:i/>
      <w:iCs/>
    </w:rPr>
  </w:style>
  <w:style w:type="paragraph" w:styleId="17">
    <w:name w:val="annotation subject"/>
    <w:basedOn w:val="11"/>
    <w:next w:val="11"/>
    <w:qFormat/>
    <w:uiPriority w:val="0"/>
    <w:rPr>
      <w:b/>
      <w:bCs/>
    </w:rPr>
  </w:style>
  <w:style w:type="paragraph" w:styleId="18">
    <w:name w:val="Balloon Text"/>
    <w:basedOn w:val="1"/>
    <w:qFormat/>
    <w:uiPriority w:val="99"/>
    <w:rPr>
      <w:rFonts w:ascii="Tahoma" w:hAnsi="Tahoma"/>
      <w:sz w:val="16"/>
      <w:szCs w:val="16"/>
    </w:rPr>
  </w:style>
  <w:style w:type="paragraph" w:styleId="19">
    <w:name w:val="List"/>
    <w:basedOn w:val="15"/>
    <w:qFormat/>
    <w:uiPriority w:val="0"/>
    <w:rPr>
      <w:rFonts w:cs="Arial"/>
    </w:rPr>
  </w:style>
  <w:style w:type="paragraph" w:styleId="20">
    <w:name w:val="footer"/>
    <w:basedOn w:val="1"/>
    <w:qFormat/>
    <w:uiPriority w:val="99"/>
    <w:pPr>
      <w:tabs>
        <w:tab w:val="center" w:pos="4419"/>
        <w:tab w:val="right" w:pos="8838"/>
      </w:tabs>
    </w:pPr>
  </w:style>
  <w:style w:type="paragraph" w:styleId="21">
    <w:name w:val="header"/>
    <w:basedOn w:val="1"/>
    <w:qFormat/>
    <w:uiPriority w:val="0"/>
    <w:pPr>
      <w:tabs>
        <w:tab w:val="center" w:pos="4419"/>
        <w:tab w:val="right" w:pos="8838"/>
      </w:tabs>
    </w:pPr>
    <w:rPr>
      <w:sz w:val="28"/>
      <w:szCs w:val="20"/>
    </w:rPr>
  </w:style>
  <w:style w:type="paragraph" w:styleId="22">
    <w:name w:val="Normal (Web)"/>
    <w:basedOn w:val="1"/>
    <w:unhideWhenUsed/>
    <w:qFormat/>
    <w:uiPriority w:val="99"/>
    <w:pPr>
      <w:spacing w:beforeAutospacing="1" w:afterAutospacing="1"/>
    </w:pPr>
  </w:style>
  <w:style w:type="paragraph" w:styleId="23">
    <w:name w:val="Title"/>
    <w:basedOn w:val="1"/>
    <w:next w:val="15"/>
    <w:qFormat/>
    <w:uiPriority w:val="0"/>
    <w:pPr>
      <w:keepNext/>
      <w:spacing w:before="240" w:after="120"/>
    </w:pPr>
    <w:rPr>
      <w:rFonts w:ascii="Liberation Sans" w:hAnsi="Liberation Sans" w:eastAsia="Microsoft YaHei" w:cs="Mangal"/>
      <w:sz w:val="28"/>
      <w:szCs w:val="28"/>
    </w:rPr>
  </w:style>
  <w:style w:type="table" w:styleId="24">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Texto de comentário Char"/>
    <w:basedOn w:val="6"/>
    <w:qFormat/>
    <w:uiPriority w:val="0"/>
  </w:style>
  <w:style w:type="character" w:customStyle="1" w:styleId="26">
    <w:name w:val="Assunto do comentário Char"/>
    <w:qFormat/>
    <w:uiPriority w:val="0"/>
    <w:rPr>
      <w:b/>
      <w:bCs/>
    </w:rPr>
  </w:style>
  <w:style w:type="character" w:customStyle="1" w:styleId="27">
    <w:name w:val="Texto de balão Char"/>
    <w:qFormat/>
    <w:uiPriority w:val="99"/>
    <w:rPr>
      <w:rFonts w:ascii="Tahoma" w:hAnsi="Tahoma" w:cs="Tahoma"/>
      <w:sz w:val="16"/>
      <w:szCs w:val="16"/>
    </w:rPr>
  </w:style>
  <w:style w:type="character" w:customStyle="1" w:styleId="28">
    <w:name w:val="Corpo de texto Char"/>
    <w:qFormat/>
    <w:uiPriority w:val="0"/>
    <w:rPr>
      <w:sz w:val="24"/>
      <w:szCs w:val="24"/>
    </w:rPr>
  </w:style>
  <w:style w:type="character" w:customStyle="1" w:styleId="29">
    <w:name w:val="Cabeçalho Char"/>
    <w:qFormat/>
    <w:uiPriority w:val="0"/>
    <w:rPr>
      <w:sz w:val="28"/>
    </w:rPr>
  </w:style>
  <w:style w:type="character" w:customStyle="1" w:styleId="30">
    <w:name w:val="Link da Internet"/>
    <w:unhideWhenUsed/>
    <w:qFormat/>
    <w:uiPriority w:val="99"/>
    <w:rPr>
      <w:color w:val="0000FF"/>
      <w:u w:val="none"/>
    </w:rPr>
  </w:style>
  <w:style w:type="character" w:customStyle="1" w:styleId="31">
    <w:name w:val="apple-converted-space"/>
    <w:qFormat/>
    <w:uiPriority w:val="0"/>
  </w:style>
  <w:style w:type="character" w:customStyle="1" w:styleId="32">
    <w:name w:val="Rodapé Char"/>
    <w:qFormat/>
    <w:uiPriority w:val="99"/>
    <w:rPr>
      <w:sz w:val="24"/>
      <w:szCs w:val="24"/>
    </w:rPr>
  </w:style>
  <w:style w:type="character" w:customStyle="1" w:styleId="33">
    <w:name w:val="tex3"/>
    <w:basedOn w:val="6"/>
    <w:qFormat/>
    <w:uiPriority w:val="0"/>
  </w:style>
  <w:style w:type="paragraph" w:customStyle="1" w:styleId="34">
    <w:name w:val="Índice"/>
    <w:basedOn w:val="1"/>
    <w:qFormat/>
    <w:uiPriority w:val="0"/>
    <w:pPr>
      <w:suppressLineNumbers/>
    </w:pPr>
    <w:rPr>
      <w:rFonts w:cs="Arial"/>
    </w:rPr>
  </w:style>
  <w:style w:type="paragraph" w:customStyle="1" w:styleId="35">
    <w:name w:val="Cabeçalho e Rodapé"/>
    <w:basedOn w:val="1"/>
    <w:qFormat/>
    <w:uiPriority w:val="0"/>
  </w:style>
  <w:style w:type="paragraph" w:customStyle="1" w:styleId="36">
    <w:name w:val="Título1"/>
    <w:basedOn w:val="1"/>
    <w:next w:val="15"/>
    <w:qFormat/>
    <w:uiPriority w:val="0"/>
    <w:pPr>
      <w:keepNext/>
      <w:spacing w:before="240" w:after="120"/>
    </w:pPr>
    <w:rPr>
      <w:rFonts w:ascii="Liberation Sans" w:hAnsi="Liberation Sans" w:eastAsia="Microsoft YaHei" w:cs="Arial"/>
      <w:sz w:val="28"/>
      <w:szCs w:val="28"/>
    </w:rPr>
  </w:style>
  <w:style w:type="paragraph" w:styleId="37">
    <w:name w:val="No Spacing"/>
    <w:qFormat/>
    <w:uiPriority w:val="1"/>
    <w:pPr>
      <w:suppressAutoHyphens/>
    </w:pPr>
    <w:rPr>
      <w:rFonts w:ascii="Times New Roman" w:hAnsi="Times New Roman" w:eastAsia="Times New Roman" w:cs="Times New Roman"/>
      <w:sz w:val="24"/>
      <w:szCs w:val="24"/>
      <w:lang w:val="pt-BR" w:eastAsia="zh-CN" w:bidi="ar-SA"/>
    </w:rPr>
  </w:style>
  <w:style w:type="paragraph" w:customStyle="1" w:styleId="38">
    <w:name w:val="western"/>
    <w:basedOn w:val="1"/>
    <w:qFormat/>
    <w:uiPriority w:val="0"/>
    <w:pPr>
      <w:spacing w:beforeAutospacing="1" w:afterAutospacing="1"/>
    </w:pPr>
  </w:style>
  <w:style w:type="paragraph" w:styleId="39">
    <w:name w:val="List Paragraph"/>
    <w:basedOn w:val="1"/>
    <w:qFormat/>
    <w:uiPriority w:val="99"/>
    <w:pPr>
      <w:ind w:left="720"/>
      <w:contextualSpacing/>
    </w:pPr>
    <w:rPr>
      <w:rFonts w:ascii="Ecofont_Spranq_eco_Sans" w:hAnsi="Ecofont_Spranq_eco_Sans" w:cs="Tahoma"/>
    </w:rPr>
  </w:style>
  <w:style w:type="paragraph" w:customStyle="1" w:styleId="40">
    <w:name w:val="Parágrafo da Lista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41">
    <w:name w:val="Conteúdo do quadro"/>
    <w:basedOn w:val="1"/>
    <w:qFormat/>
    <w:uiPriority w:val="0"/>
  </w:style>
  <w:style w:type="paragraph" w:styleId="42">
    <w:name w:val="Quote"/>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lang w:eastAsia="en-US"/>
    </w:rPr>
  </w:style>
  <w:style w:type="paragraph" w:customStyle="1" w:styleId="43">
    <w:name w:val="Nivel1"/>
    <w:basedOn w:val="2"/>
    <w:next w:val="1"/>
    <w:qFormat/>
    <w:uiPriority w:val="0"/>
    <w:pPr>
      <w:numPr>
        <w:ilvl w:val="0"/>
        <w:numId w:val="1"/>
      </w:numPr>
      <w:spacing w:before="480" w:after="120" w:line="276" w:lineRule="auto"/>
      <w:jc w:val="both"/>
    </w:pPr>
    <w:rPr>
      <w:rFonts w:ascii="Arial" w:hAnsi="Arial" w:cs="Arial"/>
      <w:color w:val="000000"/>
    </w:rPr>
  </w:style>
  <w:style w:type="paragraph" w:customStyle="1" w:styleId="44">
    <w:name w:val="Standard"/>
    <w:qFormat/>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45">
    <w:name w:val="Nivel 2"/>
    <w:basedOn w:val="1"/>
    <w:qFormat/>
    <w:uiPriority w:val="0"/>
    <w:pPr>
      <w:spacing w:before="120" w:after="120" w:line="276" w:lineRule="auto"/>
      <w:jc w:val="both"/>
    </w:pPr>
    <w:rPr>
      <w:rFonts w:ascii="Arial" w:hAnsi="Arial" w:cs="Arial"/>
      <w:color w:val="000000"/>
    </w:rPr>
  </w:style>
  <w:style w:type="paragraph" w:customStyle="1" w:styleId="46">
    <w:name w:val="Nivel 3"/>
    <w:basedOn w:val="39"/>
    <w:qFormat/>
    <w:uiPriority w:val="0"/>
    <w:pPr>
      <w:tabs>
        <w:tab w:val="left" w:pos="360"/>
      </w:tabs>
      <w:spacing w:before="120" w:after="120" w:line="276" w:lineRule="auto"/>
      <w:ind w:left="425"/>
      <w:jc w:val="both"/>
    </w:pPr>
    <w:rPr>
      <w:rFonts w:ascii="Arial" w:hAnsi="Arial" w:eastAsia="Times New Roman" w:cs="Arial"/>
      <w:sz w:val="20"/>
      <w:szCs w:val="20"/>
      <w:lang w:eastAsia="pt-BR"/>
    </w:rPr>
  </w:style>
  <w:style w:type="paragraph" w:customStyle="1" w:styleId="47">
    <w:name w:val="citação 2"/>
    <w:basedOn w:val="42"/>
    <w:qFormat/>
    <w:uiPriority w:val="0"/>
    <w:pPr>
      <w:suppressAutoHyphens/>
      <w:autoSpaceDN w:val="0"/>
    </w:pPr>
    <w:rPr>
      <w:kern w:val="3"/>
      <w:szCs w:val="20"/>
      <w:lang w:eastAsia="zh-CN" w:bidi="hi-IN"/>
    </w:rPr>
  </w:style>
  <w:style w:type="paragraph" w:customStyle="1" w:styleId="48">
    <w:name w:val="Nível 2 Opcional"/>
    <w:basedOn w:val="45"/>
    <w:qFormat/>
    <w:uiPriority w:val="0"/>
    <w:pPr>
      <w:spacing w:before="120" w:after="120" w:line="276" w:lineRule="auto"/>
      <w:ind w:left="432" w:hanging="432"/>
      <w:jc w:val="both"/>
    </w:pPr>
    <w:rPr>
      <w:rFonts w:ascii="Arial" w:hAnsi="Arial" w:eastAsia="Times New Roman" w:cs="Arial"/>
      <w:i/>
      <w:color w:val="FF0000"/>
      <w:sz w:val="20"/>
      <w:szCs w:val="20"/>
      <w:lang w:eastAsia="pt-BR"/>
    </w:rPr>
  </w:style>
  <w:style w:type="paragraph" w:customStyle="1" w:styleId="49">
    <w:name w:val="PADRÃO"/>
    <w:qFormat/>
    <w:uiPriority w:val="0"/>
    <w:pPr>
      <w:keepNext/>
      <w:widowControl w:val="0"/>
      <w:shd w:val="clear" w:color="auto" w:fill="FFFFFF"/>
      <w:suppressAutoHyphens/>
      <w:spacing w:before="119" w:after="119" w:line="276" w:lineRule="auto"/>
      <w:ind w:firstLine="567"/>
      <w:jc w:val="both"/>
    </w:pPr>
    <w:rPr>
      <w:rFonts w:ascii="Ecofont_Spranq_eco_Sans" w:hAnsi="Ecofont_Spranq_eco_Sans" w:eastAsia="WenQuanYi Micro Hei" w:cs="Lohit Hindi"/>
      <w:sz w:val="20"/>
      <w:szCs w:val="24"/>
      <w:lang w:val="pt-BR" w:eastAsia="zh-CN" w:bidi="hi-IN"/>
    </w:rPr>
  </w:style>
  <w:style w:type="paragraph" w:customStyle="1" w:styleId="50">
    <w:name w:val="Grade Colorida - Ênfase 11"/>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lang w:val="zh-CN"/>
    </w:rPr>
  </w:style>
  <w:style w:type="paragraph" w:customStyle="1" w:styleId="51">
    <w:name w:val="Nível 3 Opcional"/>
    <w:basedOn w:val="46"/>
    <w:qFormat/>
    <w:uiPriority w:val="0"/>
    <w:pPr>
      <w:numPr>
        <w:ilvl w:val="2"/>
        <w:numId w:val="1"/>
      </w:numPr>
      <w:contextualSpacing w:val="0"/>
    </w:pPr>
    <w:rPr>
      <w:i/>
      <w:iCs/>
      <w:color w:val="FF0000"/>
    </w:rPr>
  </w:style>
  <w:style w:type="character" w:customStyle="1" w:styleId="52">
    <w:name w:val="normaltextrun"/>
    <w:basedOn w:val="6"/>
    <w:qFormat/>
    <w:uiPriority w:val="0"/>
  </w:style>
  <w:style w:type="paragraph" w:customStyle="1" w:styleId="53">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54">
    <w:name w:val="fontepargpadro1"/>
    <w:basedOn w:val="6"/>
    <w:qFormat/>
    <w:uiPriority w:val="0"/>
  </w:style>
  <w:style w:type="character" w:customStyle="1" w:styleId="55">
    <w:name w:val="eop"/>
    <w:basedOn w:val="6"/>
    <w:uiPriority w:val="0"/>
  </w:style>
  <w:style w:type="character" w:customStyle="1" w:styleId="56">
    <w:name w:val="Manoel"/>
    <w:qFormat/>
    <w:uiPriority w:val="0"/>
    <w:rPr>
      <w:rFonts w:hint="default" w:ascii="Arial" w:hAnsi="Arial" w:cs="Arial"/>
      <w:color w:val="7030A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AEAF5-6F6C-4996-A331-0FF53BBC99B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4221</Words>
  <Characters>22797</Characters>
  <Lines>189</Lines>
  <Paragraphs>53</Paragraphs>
  <TotalTime>18</TotalTime>
  <ScaleCrop>false</ScaleCrop>
  <LinksUpToDate>false</LinksUpToDate>
  <CharactersWithSpaces>26965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2019-05-24T13:15:00Z</dcterms:created>
  <dc:creator>MBUSTAMANTE</dc:creator>
  <cp:lastModifiedBy>antonio.braga</cp:lastModifiedBy>
  <cp:lastPrinted>2019-07-29T16:16:00Z</cp:lastPrinted>
  <dcterms:modified xsi:type="dcterms:W3CDTF">2024-01-08T15:30:19Z</dcterms:modified>
  <dc:title>PROCESSO N° 0683/08</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2070-12.2.0.13359</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ICV">
    <vt:lpwstr>C8935D88B2F645159B416862BCBBE6DA</vt:lpwstr>
  </property>
</Properties>
</file>